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BF5CF" w14:textId="11F4FF69" w:rsidR="00335108" w:rsidRPr="003E27D3" w:rsidRDefault="00975089" w:rsidP="00335108">
      <w:proofErr w:type="spellStart"/>
      <w:r>
        <w:t>Mr</w:t>
      </w:r>
      <w:proofErr w:type="spellEnd"/>
      <w:r>
        <w:t xml:space="preserve"> Tim Irish</w:t>
      </w:r>
    </w:p>
    <w:p w14:paraId="631BF5D0" w14:textId="67D28C4E" w:rsidR="00335108" w:rsidRPr="003E27D3" w:rsidRDefault="00975089" w:rsidP="00335108">
      <w:r>
        <w:t>Vice Chair</w:t>
      </w:r>
    </w:p>
    <w:p w14:paraId="631BF5D1" w14:textId="72EF412D" w:rsidR="00335108" w:rsidRDefault="00975089" w:rsidP="00335108">
      <w:r>
        <w:t xml:space="preserve">National Institute </w:t>
      </w:r>
      <w:r w:rsidR="00D5321D">
        <w:t xml:space="preserve">for </w:t>
      </w:r>
      <w:r>
        <w:t>Health and Care Excellence</w:t>
      </w:r>
    </w:p>
    <w:p w14:paraId="631BF5D2" w14:textId="57F343A8" w:rsidR="00335108" w:rsidRDefault="00975089" w:rsidP="00335108">
      <w:r>
        <w:t>10 Spring Gardens</w:t>
      </w:r>
    </w:p>
    <w:p w14:paraId="7D26F538" w14:textId="5F7A167E" w:rsidR="00975089" w:rsidRDefault="00975089" w:rsidP="00335108">
      <w:r>
        <w:t>London</w:t>
      </w:r>
      <w:r w:rsidR="00D5321D">
        <w:t xml:space="preserve"> </w:t>
      </w:r>
      <w:r>
        <w:t>SW1B 2BU</w:t>
      </w:r>
    </w:p>
    <w:p w14:paraId="631BF5D4" w14:textId="77777777" w:rsidR="0069689B" w:rsidRDefault="0069689B" w:rsidP="00737658"/>
    <w:p w14:paraId="631BF5D5" w14:textId="77777777" w:rsidR="00335108" w:rsidRDefault="00335108" w:rsidP="00737658"/>
    <w:p w14:paraId="631BF5D6" w14:textId="77777777" w:rsidR="00601866" w:rsidRDefault="00601866" w:rsidP="00737658"/>
    <w:p w14:paraId="631BF5D7" w14:textId="77777777" w:rsidR="00335108" w:rsidRDefault="00335108" w:rsidP="00737658"/>
    <w:p w14:paraId="631BF5D8" w14:textId="080F870A" w:rsidR="003D77DC" w:rsidRDefault="00975089" w:rsidP="004B7CE3">
      <w:pPr>
        <w:framePr w:w="2467" w:h="2467" w:wrap="notBeside" w:vAnchor="text" w:hAnchor="page" w:x="681" w:y="1"/>
      </w:pPr>
      <w:r>
        <w:t>01 October 2020</w:t>
      </w:r>
    </w:p>
    <w:p w14:paraId="631BF5D9" w14:textId="77777777" w:rsidR="003D77DC" w:rsidRDefault="003D77DC" w:rsidP="004B7CE3">
      <w:pPr>
        <w:framePr w:w="2467" w:h="2467" w:wrap="notBeside" w:vAnchor="text" w:hAnchor="page" w:x="681" w:y="1"/>
      </w:pPr>
    </w:p>
    <w:p w14:paraId="631BF5DA" w14:textId="02276FF1" w:rsidR="003D77DC" w:rsidRPr="003E27D3" w:rsidRDefault="00975089" w:rsidP="004B7CE3">
      <w:pPr>
        <w:framePr w:w="2467" w:h="2467" w:wrap="notBeside" w:vAnchor="text" w:hAnchor="page" w:x="681" w:y="1"/>
      </w:pPr>
      <w:r w:rsidRPr="00975089">
        <w:t xml:space="preserve">Re: Final Appraisal Determination </w:t>
      </w:r>
      <w:r>
        <w:t>-</w:t>
      </w:r>
      <w:r w:rsidRPr="00975089">
        <w:t xml:space="preserve"> Nivolumab for previously treated locally advanced or metastatic non-squamous non-small-cell (NSQ NSCLC) lung cancer [ID1572] (CDF review TA848)</w:t>
      </w:r>
    </w:p>
    <w:p w14:paraId="631BF5DB" w14:textId="1872EE71" w:rsidR="00737658" w:rsidRPr="00975089" w:rsidRDefault="00737658" w:rsidP="00737658">
      <w:r>
        <w:t>D</w:t>
      </w:r>
      <w:r w:rsidRPr="00975089">
        <w:t xml:space="preserve">ear </w:t>
      </w:r>
      <w:proofErr w:type="spellStart"/>
      <w:proofErr w:type="gramStart"/>
      <w:r w:rsidR="00975089" w:rsidRPr="00975089">
        <w:t>Mr</w:t>
      </w:r>
      <w:proofErr w:type="spellEnd"/>
      <w:proofErr w:type="gramEnd"/>
      <w:r w:rsidR="00975089" w:rsidRPr="00975089">
        <w:t xml:space="preserve"> Irish</w:t>
      </w:r>
      <w:r w:rsidRPr="00975089">
        <w:t>,</w:t>
      </w:r>
    </w:p>
    <w:p w14:paraId="0C322B1D" w14:textId="77777777" w:rsidR="00975089" w:rsidRPr="00975089" w:rsidRDefault="00975089" w:rsidP="00737658"/>
    <w:p w14:paraId="36EFD3E0" w14:textId="2F94E20F" w:rsidR="00975089" w:rsidRPr="00975089" w:rsidRDefault="00975089" w:rsidP="00975089">
      <w:pPr>
        <w:pStyle w:val="BodyText"/>
        <w:jc w:val="both"/>
        <w:rPr>
          <w:rFonts w:cs="Times New Roman"/>
          <w:color w:val="595454" w:themeColor="text1"/>
          <w:sz w:val="20"/>
          <w:szCs w:val="20"/>
        </w:rPr>
      </w:pPr>
      <w:r w:rsidRPr="00975089">
        <w:rPr>
          <w:rFonts w:cs="Times New Roman"/>
          <w:color w:val="595454" w:themeColor="text1"/>
          <w:sz w:val="20"/>
          <w:szCs w:val="20"/>
        </w:rPr>
        <w:t>Bristol Myers Squibb (“BMS”) wishes to appeal against the above Final Appraisal Determination (“FAD”), which recommends funding for nivolumab in NSQ NSCLC patients with PD-L1 expression at 1% or higher (which we refer to as “PD</w:t>
      </w:r>
      <w:r w:rsidRPr="00975089">
        <w:rPr>
          <w:rFonts w:cs="Times New Roman"/>
          <w:color w:val="595454" w:themeColor="text1"/>
          <w:sz w:val="20"/>
          <w:szCs w:val="20"/>
        </w:rPr>
        <w:noBreakHyphen/>
        <w:t>L1 positive”) but not the whole population that the product is indicated to treat (</w:t>
      </w:r>
      <w:r w:rsidRPr="00975089">
        <w:rPr>
          <w:rFonts w:cs="Times New Roman"/>
          <w:i/>
          <w:color w:val="595454" w:themeColor="text1"/>
          <w:sz w:val="20"/>
          <w:szCs w:val="20"/>
        </w:rPr>
        <w:t>i.e.</w:t>
      </w:r>
      <w:r w:rsidRPr="00975089">
        <w:rPr>
          <w:rFonts w:cs="Times New Roman"/>
          <w:color w:val="595454" w:themeColor="text1"/>
          <w:sz w:val="20"/>
          <w:szCs w:val="20"/>
        </w:rPr>
        <w:t>, all NSQ N</w:t>
      </w:r>
      <w:r w:rsidR="003427ED">
        <w:rPr>
          <w:rFonts w:cs="Times New Roman"/>
          <w:color w:val="595454" w:themeColor="text1"/>
          <w:sz w:val="20"/>
          <w:szCs w:val="20"/>
        </w:rPr>
        <w:t>S</w:t>
      </w:r>
      <w:r w:rsidRPr="00975089">
        <w:rPr>
          <w:rFonts w:cs="Times New Roman"/>
          <w:color w:val="595454" w:themeColor="text1"/>
          <w:sz w:val="20"/>
          <w:szCs w:val="20"/>
        </w:rPr>
        <w:t>CLC patients).  The recommendation for PD-L1 positive patients is an important advance for the NHS and is not under appeal here.  Rather, this appeal concerns NICE’s decision not to review nivolumab in line with its marketing authorization and the Scope of the appraisal; specifically the decision to exclude patients with PD-L1 expression of less than 1% (“PD-L1 &lt;1% patients”) or inconclusive or unquantifiable PD-L1 status.</w:t>
      </w:r>
    </w:p>
    <w:p w14:paraId="29A01C7B" w14:textId="77777777" w:rsidR="00975089" w:rsidRPr="00975089" w:rsidRDefault="00975089" w:rsidP="00975089">
      <w:pPr>
        <w:pStyle w:val="BodyText"/>
        <w:jc w:val="both"/>
        <w:rPr>
          <w:rFonts w:cs="Times New Roman"/>
          <w:color w:val="595454" w:themeColor="text1"/>
          <w:sz w:val="20"/>
          <w:szCs w:val="20"/>
        </w:rPr>
      </w:pPr>
      <w:r w:rsidRPr="00975089">
        <w:rPr>
          <w:rFonts w:cs="Times New Roman"/>
          <w:color w:val="595454" w:themeColor="text1"/>
          <w:sz w:val="20"/>
          <w:szCs w:val="20"/>
        </w:rPr>
        <w:t xml:space="preserve">BMS has great respect for NICE and the work it does, but the company is compelled to bring this appeal on fundamental points of principle and in the interests of patients.  This technology appraisal and Cancer Drugs Fund (“CDF”) exit review were designed from the outset to appraise nivolumab for the NSQ NSCLC </w:t>
      </w:r>
      <w:proofErr w:type="gramStart"/>
      <w:r w:rsidRPr="00975089">
        <w:rPr>
          <w:rFonts w:cs="Times New Roman"/>
          <w:color w:val="595454" w:themeColor="text1"/>
          <w:sz w:val="20"/>
          <w:szCs w:val="20"/>
        </w:rPr>
        <w:t>population as a whole, irrespective</w:t>
      </w:r>
      <w:proofErr w:type="gramEnd"/>
      <w:r w:rsidRPr="00975089">
        <w:rPr>
          <w:rFonts w:cs="Times New Roman"/>
          <w:color w:val="595454" w:themeColor="text1"/>
          <w:sz w:val="20"/>
          <w:szCs w:val="20"/>
        </w:rPr>
        <w:t xml:space="preserve"> of PD-L1 expression.  This is clear in the original 2015 </w:t>
      </w:r>
      <w:proofErr w:type="gramStart"/>
      <w:r w:rsidRPr="00975089">
        <w:rPr>
          <w:rFonts w:cs="Times New Roman"/>
          <w:color w:val="595454" w:themeColor="text1"/>
          <w:sz w:val="20"/>
          <w:szCs w:val="20"/>
        </w:rPr>
        <w:t>Scope, and</w:t>
      </w:r>
      <w:proofErr w:type="gramEnd"/>
      <w:r w:rsidRPr="00975089">
        <w:rPr>
          <w:rFonts w:cs="Times New Roman"/>
          <w:color w:val="595454" w:themeColor="text1"/>
          <w:sz w:val="20"/>
          <w:szCs w:val="20"/>
        </w:rPr>
        <w:t xml:space="preserve"> is restated in the 2019 Scope.  The latter applies specifically to the CDF review.  </w:t>
      </w:r>
    </w:p>
    <w:p w14:paraId="7E7167EE" w14:textId="289FB725" w:rsidR="00975089" w:rsidRPr="00975089" w:rsidRDefault="00975089" w:rsidP="00975089">
      <w:pPr>
        <w:pStyle w:val="BodyText"/>
        <w:jc w:val="both"/>
        <w:rPr>
          <w:rFonts w:cs="Times New Roman"/>
          <w:color w:val="595454" w:themeColor="text1"/>
          <w:sz w:val="20"/>
          <w:szCs w:val="20"/>
        </w:rPr>
      </w:pPr>
      <w:r w:rsidRPr="00975089">
        <w:rPr>
          <w:rFonts w:cs="Times New Roman"/>
          <w:color w:val="595454" w:themeColor="text1"/>
          <w:sz w:val="20"/>
          <w:szCs w:val="20"/>
        </w:rPr>
        <w:t xml:space="preserve">The FAD departs from both Scopes and does not </w:t>
      </w:r>
      <w:proofErr w:type="gramStart"/>
      <w:r w:rsidRPr="00975089">
        <w:rPr>
          <w:rFonts w:cs="Times New Roman"/>
          <w:color w:val="595454" w:themeColor="text1"/>
          <w:sz w:val="20"/>
          <w:szCs w:val="20"/>
        </w:rPr>
        <w:t>give consideration to</w:t>
      </w:r>
      <w:proofErr w:type="gramEnd"/>
      <w:r w:rsidRPr="00975089">
        <w:rPr>
          <w:color w:val="595454" w:themeColor="text1"/>
        </w:rPr>
        <w:t xml:space="preserve"> </w:t>
      </w:r>
      <w:r w:rsidRPr="00975089">
        <w:rPr>
          <w:rFonts w:cs="Times New Roman"/>
          <w:color w:val="595454" w:themeColor="text1"/>
          <w:sz w:val="20"/>
          <w:szCs w:val="20"/>
        </w:rPr>
        <w:t xml:space="preserve">PD-L1 &lt;1% and inconclusive PD-L1 patients.  Patients will find that difficult to accept, given the clinical data submitted to NICE show that nivolumab improves overall survival, regardless of PD-L1 expression.  NICE and/or the Appraisal Committee have refused to review that evidence because, according to NICE, the CDF recommendation has a limiting effect such that NICE must reject any data that does not concern PD-L1 positive patients.  That appears to be an internal NICE position.  It is wholly incorrect.  It has no basis in the Methods Guide or any other procedural document.  In fact, the Methods Guide and the FAD itself both say NICE should do exactly the opposite.  </w:t>
      </w:r>
    </w:p>
    <w:p w14:paraId="5FAD2014" w14:textId="747866B0" w:rsidR="00975089" w:rsidRPr="00975089" w:rsidRDefault="00975089" w:rsidP="00975089">
      <w:pPr>
        <w:pStyle w:val="BodyText"/>
        <w:jc w:val="both"/>
        <w:rPr>
          <w:rFonts w:cs="Times New Roman"/>
          <w:color w:val="595454" w:themeColor="text1"/>
          <w:sz w:val="20"/>
          <w:szCs w:val="20"/>
        </w:rPr>
      </w:pPr>
      <w:r w:rsidRPr="00975089">
        <w:rPr>
          <w:rFonts w:cs="Times New Roman"/>
          <w:color w:val="595454" w:themeColor="text1"/>
          <w:sz w:val="20"/>
          <w:szCs w:val="20"/>
        </w:rPr>
        <w:t xml:space="preserve">It is a position that seems to have developed </w:t>
      </w:r>
      <w:proofErr w:type="gramStart"/>
      <w:r w:rsidRPr="00975089">
        <w:rPr>
          <w:rFonts w:cs="Times New Roman"/>
          <w:color w:val="595454" w:themeColor="text1"/>
          <w:sz w:val="20"/>
          <w:szCs w:val="20"/>
        </w:rPr>
        <w:t>during the course of</w:t>
      </w:r>
      <w:proofErr w:type="gramEnd"/>
      <w:r w:rsidRPr="00975089">
        <w:rPr>
          <w:rFonts w:cs="Times New Roman"/>
          <w:color w:val="595454" w:themeColor="text1"/>
          <w:sz w:val="20"/>
          <w:szCs w:val="20"/>
        </w:rPr>
        <w:t xml:space="preserve"> this CDF review, without proper consultation or communication.  Conducting appraisals in this manner lacks transparency, is procedurally unfair and breaches basic public law principles.  It also undermines the key objective of the CDF, which is to allow time to gather the most up</w:t>
      </w:r>
      <w:r w:rsidRPr="00975089">
        <w:rPr>
          <w:rFonts w:cs="Times New Roman"/>
          <w:color w:val="595454" w:themeColor="text1"/>
          <w:sz w:val="20"/>
          <w:szCs w:val="20"/>
        </w:rPr>
        <w:noBreakHyphen/>
        <w:t>to-date evidence to resolve uncertainty.  Throughout this appraisal — including during the CDF period — BMS, clinicians and patients expected NICE to review the most up-to-date clinical data for the whole NSQ NSCLC population.  Such an expectation was fully justified and supported in the Methods Guide</w:t>
      </w:r>
      <w:r w:rsidR="003427ED">
        <w:rPr>
          <w:rFonts w:cs="Times New Roman"/>
          <w:color w:val="595454" w:themeColor="text1"/>
          <w:sz w:val="20"/>
          <w:szCs w:val="20"/>
        </w:rPr>
        <w:t xml:space="preserve"> and within the data collection agreement</w:t>
      </w:r>
      <w:r w:rsidRPr="00975089">
        <w:rPr>
          <w:rFonts w:cs="Times New Roman"/>
          <w:color w:val="595454" w:themeColor="text1"/>
          <w:sz w:val="20"/>
          <w:szCs w:val="20"/>
        </w:rPr>
        <w:t xml:space="preserve">.  NICE has fallen short of that expectation by unilaterally changing the terms of its review as that review progressed.  It has arbitrarily distinguished between patients based on PD-L1 expression, which has been shown to be an imperfect biomarker for this </w:t>
      </w:r>
      <w:r w:rsidRPr="00975089">
        <w:rPr>
          <w:rFonts w:cs="Times New Roman"/>
          <w:color w:val="595454" w:themeColor="text1"/>
          <w:sz w:val="20"/>
          <w:szCs w:val="20"/>
        </w:rPr>
        <w:lastRenderedPageBreak/>
        <w:t>drug class.  This leaves</w:t>
      </w:r>
      <w:r w:rsidRPr="00975089">
        <w:rPr>
          <w:color w:val="595454" w:themeColor="text1"/>
        </w:rPr>
        <w:t xml:space="preserve"> </w:t>
      </w:r>
      <w:r w:rsidRPr="00975089">
        <w:rPr>
          <w:rFonts w:cs="Times New Roman"/>
          <w:color w:val="595454" w:themeColor="text1"/>
          <w:sz w:val="20"/>
          <w:szCs w:val="20"/>
        </w:rPr>
        <w:t>PD-L1 &lt;1% patients disenfranchised and without access to treatment that is proven to be life-extending.</w:t>
      </w:r>
    </w:p>
    <w:p w14:paraId="0FB47A9B" w14:textId="76CAC084" w:rsidR="00975089" w:rsidRPr="00975089" w:rsidRDefault="00975089" w:rsidP="00975089">
      <w:pPr>
        <w:pStyle w:val="BodyText"/>
        <w:jc w:val="both"/>
        <w:rPr>
          <w:rFonts w:cs="Times New Roman"/>
          <w:color w:val="595454" w:themeColor="text1"/>
          <w:sz w:val="20"/>
          <w:szCs w:val="20"/>
        </w:rPr>
      </w:pPr>
      <w:r w:rsidRPr="00975089">
        <w:rPr>
          <w:rFonts w:cs="Times New Roman"/>
          <w:color w:val="595454" w:themeColor="text1"/>
          <w:sz w:val="20"/>
          <w:szCs w:val="20"/>
        </w:rPr>
        <w:t>BMS requests that: (</w:t>
      </w:r>
      <w:proofErr w:type="spellStart"/>
      <w:r w:rsidRPr="00975089">
        <w:rPr>
          <w:rFonts w:cs="Times New Roman"/>
          <w:color w:val="595454" w:themeColor="text1"/>
          <w:sz w:val="20"/>
          <w:szCs w:val="20"/>
        </w:rPr>
        <w:t>i</w:t>
      </w:r>
      <w:proofErr w:type="spellEnd"/>
      <w:r w:rsidRPr="00975089">
        <w:rPr>
          <w:rFonts w:cs="Times New Roman"/>
          <w:color w:val="595454" w:themeColor="text1"/>
          <w:sz w:val="20"/>
          <w:szCs w:val="20"/>
        </w:rPr>
        <w:t>) this appeal be determined at an oral hearing; and (ii) if the appeal is successful, the Appraisal Committee reconvenes to evaluate the data BMS has submitted for the whole NSQ N</w:t>
      </w:r>
      <w:r w:rsidR="00CF7F64">
        <w:rPr>
          <w:rFonts w:cs="Times New Roman"/>
          <w:color w:val="595454" w:themeColor="text1"/>
          <w:sz w:val="20"/>
          <w:szCs w:val="20"/>
        </w:rPr>
        <w:t>S</w:t>
      </w:r>
      <w:r w:rsidRPr="00975089">
        <w:rPr>
          <w:rFonts w:cs="Times New Roman"/>
          <w:color w:val="595454" w:themeColor="text1"/>
          <w:sz w:val="20"/>
          <w:szCs w:val="20"/>
        </w:rPr>
        <w:t xml:space="preserve">CLC population. </w:t>
      </w:r>
    </w:p>
    <w:p w14:paraId="19D04FE6" w14:textId="77777777" w:rsidR="00975089" w:rsidRPr="00975089" w:rsidRDefault="00975089" w:rsidP="00975089">
      <w:pPr>
        <w:pStyle w:val="Heading1"/>
        <w:numPr>
          <w:ilvl w:val="0"/>
          <w:numId w:val="6"/>
        </w:numPr>
        <w:jc w:val="both"/>
        <w:rPr>
          <w:rFonts w:asciiTheme="minorHAnsi" w:hAnsiTheme="minorHAnsi" w:cs="Times New Roman"/>
          <w:b/>
          <w:color w:val="595454" w:themeColor="text1"/>
          <w:sz w:val="20"/>
          <w:szCs w:val="20"/>
        </w:rPr>
      </w:pPr>
      <w:r w:rsidRPr="00975089">
        <w:rPr>
          <w:rFonts w:asciiTheme="minorHAnsi" w:hAnsiTheme="minorHAnsi" w:cs="Times New Roman"/>
          <w:b/>
          <w:color w:val="595454" w:themeColor="text1"/>
          <w:sz w:val="20"/>
          <w:szCs w:val="20"/>
        </w:rPr>
        <w:t>Background</w:t>
      </w:r>
    </w:p>
    <w:p w14:paraId="6795D7E2" w14:textId="77777777" w:rsidR="00975089" w:rsidRPr="00975089" w:rsidRDefault="00975089" w:rsidP="00975089">
      <w:pPr>
        <w:pStyle w:val="BodyText"/>
        <w:jc w:val="both"/>
        <w:rPr>
          <w:rFonts w:cs="Times New Roman"/>
          <w:color w:val="595454" w:themeColor="text1"/>
          <w:sz w:val="20"/>
          <w:szCs w:val="20"/>
        </w:rPr>
      </w:pPr>
      <w:proofErr w:type="spellStart"/>
      <w:r w:rsidRPr="00975089">
        <w:rPr>
          <w:rFonts w:cs="Times New Roman"/>
          <w:color w:val="595454" w:themeColor="text1"/>
          <w:sz w:val="20"/>
          <w:szCs w:val="20"/>
        </w:rPr>
        <w:t>Opdivo</w:t>
      </w:r>
      <w:proofErr w:type="spellEnd"/>
      <w:r w:rsidRPr="00975089">
        <w:rPr>
          <w:rFonts w:cs="Times New Roman"/>
          <w:color w:val="595454" w:themeColor="text1"/>
          <w:sz w:val="20"/>
          <w:szCs w:val="20"/>
        </w:rPr>
        <w:t xml:space="preserve"> (INN nivolumab) is a monoclonal antibody that targets the PD-1 receptor, working on the immune checkpoint pathway.  Its marketing authorization encompasses </w:t>
      </w:r>
      <w:proofErr w:type="gramStart"/>
      <w:r w:rsidRPr="00975089">
        <w:rPr>
          <w:rFonts w:cs="Times New Roman"/>
          <w:color w:val="595454" w:themeColor="text1"/>
          <w:sz w:val="20"/>
          <w:szCs w:val="20"/>
        </w:rPr>
        <w:t>a number of</w:t>
      </w:r>
      <w:proofErr w:type="gramEnd"/>
      <w:r w:rsidRPr="00975089">
        <w:rPr>
          <w:rFonts w:cs="Times New Roman"/>
          <w:color w:val="595454" w:themeColor="text1"/>
          <w:sz w:val="20"/>
          <w:szCs w:val="20"/>
        </w:rPr>
        <w:t xml:space="preserve"> oncology indications.  This includes use as a “</w:t>
      </w:r>
      <w:r w:rsidRPr="00975089">
        <w:rPr>
          <w:rFonts w:cs="Times New Roman"/>
          <w:i/>
          <w:iCs/>
          <w:color w:val="595454" w:themeColor="text1"/>
          <w:sz w:val="20"/>
          <w:szCs w:val="20"/>
        </w:rPr>
        <w:t>monotherapy for the treatment of locally advanced or metastatic non-small cell lung cancer [NSCLC] after prior chemotherapy in adults.</w:t>
      </w:r>
      <w:r w:rsidRPr="00975089">
        <w:rPr>
          <w:rFonts w:cs="Times New Roman"/>
          <w:color w:val="595454" w:themeColor="text1"/>
          <w:sz w:val="20"/>
          <w:szCs w:val="20"/>
        </w:rPr>
        <w:t xml:space="preserve">”  </w:t>
      </w:r>
    </w:p>
    <w:p w14:paraId="7A87F52E" w14:textId="77777777" w:rsidR="00975089" w:rsidRPr="00975089" w:rsidRDefault="00975089" w:rsidP="00975089">
      <w:pPr>
        <w:pStyle w:val="BodyText"/>
        <w:keepNext/>
        <w:jc w:val="both"/>
        <w:rPr>
          <w:rFonts w:cs="Times New Roman"/>
          <w:b/>
          <w:i/>
          <w:color w:val="595454" w:themeColor="text1"/>
          <w:sz w:val="20"/>
          <w:szCs w:val="20"/>
        </w:rPr>
      </w:pPr>
      <w:r w:rsidRPr="00975089">
        <w:rPr>
          <w:rFonts w:cs="Times New Roman"/>
          <w:b/>
          <w:i/>
          <w:color w:val="595454" w:themeColor="text1"/>
          <w:sz w:val="20"/>
          <w:szCs w:val="20"/>
        </w:rPr>
        <w:t>NICE Appraisals of nivolumab in NSCLC</w:t>
      </w:r>
    </w:p>
    <w:p w14:paraId="4CD5DE1F" w14:textId="77777777" w:rsidR="00975089" w:rsidRPr="00975089" w:rsidRDefault="00975089" w:rsidP="00975089">
      <w:pPr>
        <w:pStyle w:val="BodyText"/>
        <w:jc w:val="both"/>
        <w:rPr>
          <w:rFonts w:cs="Times New Roman"/>
          <w:color w:val="595454" w:themeColor="text1"/>
          <w:sz w:val="20"/>
          <w:szCs w:val="20"/>
        </w:rPr>
      </w:pPr>
      <w:r w:rsidRPr="00975089">
        <w:rPr>
          <w:rFonts w:cs="Times New Roman"/>
          <w:color w:val="595454" w:themeColor="text1"/>
          <w:sz w:val="20"/>
          <w:szCs w:val="20"/>
        </w:rPr>
        <w:t>In 2015, NICE began two technology appraisals of nivolumab in NSCLC:  TA483 and TA484.  The former related to the use of the product for the squamous (“SQ”) histology; the latter related to the non-squamous (“NSQ”) histology.</w:t>
      </w:r>
    </w:p>
    <w:p w14:paraId="43B72134" w14:textId="77777777" w:rsidR="00975089" w:rsidRPr="00975089" w:rsidRDefault="00975089" w:rsidP="00975089">
      <w:pPr>
        <w:pStyle w:val="BodyText"/>
        <w:jc w:val="both"/>
        <w:rPr>
          <w:rFonts w:cs="Times New Roman"/>
          <w:color w:val="595454" w:themeColor="text1"/>
          <w:sz w:val="20"/>
          <w:szCs w:val="20"/>
        </w:rPr>
      </w:pPr>
      <w:r w:rsidRPr="00975089">
        <w:rPr>
          <w:rFonts w:cs="Times New Roman"/>
          <w:color w:val="595454" w:themeColor="text1"/>
          <w:sz w:val="20"/>
          <w:szCs w:val="20"/>
        </w:rPr>
        <w:t xml:space="preserve">The parameters of each appraisal aligned with the marketing authorization of the product.  This was clear in the original Scope published for TA484 in 2015 (“2015 Scope”), which stated the appraisal would encompass the NSQ NSCLC </w:t>
      </w:r>
      <w:proofErr w:type="gramStart"/>
      <w:r w:rsidRPr="00975089">
        <w:rPr>
          <w:rFonts w:cs="Times New Roman"/>
          <w:color w:val="595454" w:themeColor="text1"/>
          <w:sz w:val="20"/>
          <w:szCs w:val="20"/>
        </w:rPr>
        <w:t>population as a whole, irrespective</w:t>
      </w:r>
      <w:proofErr w:type="gramEnd"/>
      <w:r w:rsidRPr="00975089">
        <w:rPr>
          <w:rFonts w:cs="Times New Roman"/>
          <w:color w:val="595454" w:themeColor="text1"/>
          <w:sz w:val="20"/>
          <w:szCs w:val="20"/>
        </w:rPr>
        <w:t xml:space="preserve"> of PD-L1 status. </w:t>
      </w:r>
    </w:p>
    <w:p w14:paraId="6381AED7" w14:textId="77777777" w:rsidR="00975089" w:rsidRPr="00975089" w:rsidRDefault="00975089" w:rsidP="00975089">
      <w:pPr>
        <w:pStyle w:val="BodyText"/>
        <w:jc w:val="both"/>
        <w:rPr>
          <w:rFonts w:cs="Times New Roman"/>
          <w:color w:val="595454" w:themeColor="text1"/>
          <w:sz w:val="20"/>
          <w:szCs w:val="20"/>
        </w:rPr>
      </w:pPr>
      <w:r w:rsidRPr="00975089">
        <w:rPr>
          <w:rFonts w:cs="Times New Roman"/>
          <w:color w:val="595454" w:themeColor="text1"/>
          <w:sz w:val="20"/>
          <w:szCs w:val="20"/>
        </w:rPr>
        <w:t xml:space="preserve">In 2017, in both appraisals, NICE recommended interim funding through the CDF.  In TA483, NICE made this recommendation regardless of the PD-L1 status of SQ NSCLC patients.  </w:t>
      </w:r>
    </w:p>
    <w:p w14:paraId="011D5DFA" w14:textId="77777777" w:rsidR="00975089" w:rsidRPr="00975089" w:rsidRDefault="00975089" w:rsidP="00975089">
      <w:pPr>
        <w:pStyle w:val="BodyText"/>
        <w:jc w:val="both"/>
        <w:rPr>
          <w:rFonts w:cs="Times New Roman"/>
          <w:color w:val="595454" w:themeColor="text1"/>
          <w:sz w:val="20"/>
          <w:szCs w:val="20"/>
        </w:rPr>
      </w:pPr>
      <w:r w:rsidRPr="00975089">
        <w:rPr>
          <w:rFonts w:cs="Times New Roman"/>
          <w:color w:val="595454" w:themeColor="text1"/>
          <w:sz w:val="20"/>
          <w:szCs w:val="20"/>
        </w:rPr>
        <w:t>In TA484, however, the Appraisal Committee considered that according to the clinical evidence presented to it at the time, nivolumab had not shown a “</w:t>
      </w:r>
      <w:r w:rsidRPr="00975089">
        <w:rPr>
          <w:rFonts w:cs="Times New Roman"/>
          <w:i/>
          <w:color w:val="595454" w:themeColor="text1"/>
          <w:sz w:val="20"/>
          <w:szCs w:val="20"/>
        </w:rPr>
        <w:t>convincing overall-survival benefit</w:t>
      </w:r>
      <w:r w:rsidRPr="00975089">
        <w:rPr>
          <w:rFonts w:cs="Times New Roman"/>
          <w:color w:val="595454" w:themeColor="text1"/>
          <w:sz w:val="20"/>
          <w:szCs w:val="20"/>
        </w:rPr>
        <w:t>” in PD-L1 &lt;1% patients.</w:t>
      </w:r>
      <w:r w:rsidRPr="00975089">
        <w:rPr>
          <w:rStyle w:val="FootnoteReference"/>
          <w:rFonts w:cs="Times New Roman"/>
          <w:color w:val="595454" w:themeColor="text1"/>
          <w:sz w:val="20"/>
          <w:szCs w:val="20"/>
        </w:rPr>
        <w:footnoteReference w:id="1"/>
      </w:r>
      <w:r w:rsidRPr="00975089">
        <w:rPr>
          <w:rFonts w:cs="Times New Roman"/>
          <w:color w:val="595454" w:themeColor="text1"/>
          <w:sz w:val="20"/>
          <w:szCs w:val="20"/>
        </w:rPr>
        <w:t xml:space="preserve">  The Committee therefore recommended its use within the CDF only for PD-L1 positive patients.  </w:t>
      </w:r>
    </w:p>
    <w:p w14:paraId="5EAAFA90" w14:textId="77777777" w:rsidR="00975089" w:rsidRPr="00975089" w:rsidRDefault="00975089" w:rsidP="00975089">
      <w:pPr>
        <w:pStyle w:val="BodyText"/>
        <w:jc w:val="both"/>
        <w:rPr>
          <w:rFonts w:cs="Times New Roman"/>
          <w:color w:val="595454" w:themeColor="text1"/>
          <w:sz w:val="20"/>
          <w:szCs w:val="20"/>
        </w:rPr>
      </w:pPr>
      <w:r w:rsidRPr="00975089">
        <w:rPr>
          <w:rFonts w:cs="Times New Roman"/>
          <w:color w:val="595454" w:themeColor="text1"/>
          <w:sz w:val="20"/>
          <w:szCs w:val="20"/>
        </w:rPr>
        <w:t>At the time, the Committee was concerned with uncertainties in the available evidence, including the level of clinical effectiveness according to PD-L1 expression, long-term overall survival and the duration of therapy.</w:t>
      </w:r>
      <w:r w:rsidRPr="00975089">
        <w:rPr>
          <w:rStyle w:val="FootnoteReference"/>
          <w:rFonts w:cs="Times New Roman"/>
          <w:color w:val="595454" w:themeColor="text1"/>
          <w:sz w:val="20"/>
          <w:szCs w:val="20"/>
        </w:rPr>
        <w:footnoteReference w:id="2"/>
      </w:r>
      <w:r w:rsidRPr="00975089">
        <w:rPr>
          <w:rFonts w:cs="Times New Roman"/>
          <w:color w:val="595454" w:themeColor="text1"/>
          <w:sz w:val="20"/>
          <w:szCs w:val="20"/>
        </w:rPr>
        <w:t xml:space="preserve">  The intention was that during the CDF period, BMS would generate further evidence to resolve those uncertainties.  In particular, the data collection arrangement would allow the Appraisal Committee to explore efficacy and hence cost-effectiveness at different PD-L1 expression levels.  The primary source of data collection was the ongoing </w:t>
      </w:r>
      <w:proofErr w:type="spellStart"/>
      <w:r w:rsidRPr="00975089">
        <w:rPr>
          <w:rFonts w:cs="Times New Roman"/>
          <w:color w:val="595454" w:themeColor="text1"/>
          <w:sz w:val="20"/>
          <w:szCs w:val="20"/>
        </w:rPr>
        <w:t>CheckMate</w:t>
      </w:r>
      <w:proofErr w:type="spellEnd"/>
      <w:r w:rsidRPr="00975089">
        <w:rPr>
          <w:rFonts w:cs="Times New Roman"/>
          <w:color w:val="595454" w:themeColor="text1"/>
          <w:sz w:val="20"/>
          <w:szCs w:val="20"/>
        </w:rPr>
        <w:t xml:space="preserve"> 057 Phase III trial, in which a 5-year data cut was expected in June 2019.  That trial was of nivolumab vs docetaxel for the treatment of patients with metastatic NSQ NSCLC with progression on or after platinum-based chemotherapy.  The primary endpoint was overall survival (“OS”) with efficacy according to tumour PD</w:t>
      </w:r>
      <w:r w:rsidRPr="00975089">
        <w:rPr>
          <w:rFonts w:cs="Times New Roman"/>
          <w:color w:val="595454" w:themeColor="text1"/>
          <w:sz w:val="20"/>
          <w:szCs w:val="20"/>
        </w:rPr>
        <w:noBreakHyphen/>
        <w:t xml:space="preserve">L1 expression level as one of the secondary endpoints.  </w:t>
      </w:r>
    </w:p>
    <w:p w14:paraId="605B4FBC" w14:textId="77777777" w:rsidR="00975089" w:rsidRPr="00975089" w:rsidRDefault="00975089" w:rsidP="00975089">
      <w:pPr>
        <w:pStyle w:val="BodyText"/>
        <w:jc w:val="both"/>
        <w:rPr>
          <w:rFonts w:cs="Times New Roman"/>
          <w:b/>
          <w:i/>
          <w:color w:val="595454" w:themeColor="text1"/>
          <w:sz w:val="20"/>
          <w:szCs w:val="20"/>
        </w:rPr>
      </w:pPr>
      <w:r w:rsidRPr="00975089">
        <w:rPr>
          <w:rFonts w:cs="Times New Roman"/>
          <w:b/>
          <w:i/>
          <w:color w:val="595454" w:themeColor="text1"/>
          <w:sz w:val="20"/>
          <w:szCs w:val="20"/>
        </w:rPr>
        <w:lastRenderedPageBreak/>
        <w:t>Data Generated During CDF Period</w:t>
      </w:r>
    </w:p>
    <w:p w14:paraId="2A0EDA68" w14:textId="689FDB47" w:rsidR="00975089" w:rsidRPr="00626B7D" w:rsidRDefault="00975089" w:rsidP="00975089">
      <w:pPr>
        <w:pStyle w:val="BodyText"/>
        <w:jc w:val="both"/>
        <w:rPr>
          <w:rFonts w:cs="Times New Roman"/>
          <w:color w:val="595454" w:themeColor="text1"/>
          <w:sz w:val="20"/>
          <w:szCs w:val="20"/>
          <w:highlight w:val="yellow"/>
          <w:u w:val="single"/>
        </w:rPr>
      </w:pPr>
      <w:r w:rsidRPr="00975089">
        <w:rPr>
          <w:rFonts w:cs="Times New Roman"/>
          <w:color w:val="595454" w:themeColor="text1"/>
          <w:sz w:val="20"/>
          <w:szCs w:val="20"/>
        </w:rPr>
        <w:t xml:space="preserve">During the CDF period, BMS increased the quality and depth of its evidence base.  Data from the </w:t>
      </w:r>
      <w:proofErr w:type="spellStart"/>
      <w:r w:rsidRPr="00975089">
        <w:rPr>
          <w:rFonts w:cs="Times New Roman"/>
          <w:color w:val="595454" w:themeColor="text1"/>
          <w:sz w:val="20"/>
          <w:szCs w:val="20"/>
        </w:rPr>
        <w:t>CheckMate</w:t>
      </w:r>
      <w:proofErr w:type="spellEnd"/>
      <w:r w:rsidRPr="00975089">
        <w:rPr>
          <w:rFonts w:cs="Times New Roman"/>
          <w:color w:val="595454" w:themeColor="text1"/>
          <w:sz w:val="20"/>
          <w:szCs w:val="20"/>
        </w:rPr>
        <w:t xml:space="preserve"> 017</w:t>
      </w:r>
      <w:r w:rsidR="00053F4D">
        <w:rPr>
          <w:rFonts w:cs="Times New Roman"/>
          <w:color w:val="595454" w:themeColor="text1"/>
          <w:sz w:val="20"/>
          <w:szCs w:val="20"/>
        </w:rPr>
        <w:t xml:space="preserve"> (SQ)</w:t>
      </w:r>
      <w:r w:rsidRPr="00975089">
        <w:rPr>
          <w:rFonts w:cs="Times New Roman"/>
          <w:color w:val="595454" w:themeColor="text1"/>
          <w:sz w:val="20"/>
          <w:szCs w:val="20"/>
        </w:rPr>
        <w:t xml:space="preserve"> and 057</w:t>
      </w:r>
      <w:r w:rsidR="00053F4D">
        <w:rPr>
          <w:rFonts w:cs="Times New Roman"/>
          <w:color w:val="595454" w:themeColor="text1"/>
          <w:sz w:val="20"/>
          <w:szCs w:val="20"/>
        </w:rPr>
        <w:t xml:space="preserve"> (NSQ)</w:t>
      </w:r>
      <w:r w:rsidRPr="00975089">
        <w:rPr>
          <w:rFonts w:cs="Times New Roman"/>
          <w:color w:val="595454" w:themeColor="text1"/>
          <w:sz w:val="20"/>
          <w:szCs w:val="20"/>
        </w:rPr>
        <w:t xml:space="preserve"> trials demonstrated that, over the longer term, nivolumab significantly improved overall survival across the whole </w:t>
      </w:r>
      <w:r w:rsidR="00053F4D">
        <w:rPr>
          <w:rFonts w:cs="Times New Roman"/>
          <w:color w:val="595454" w:themeColor="text1"/>
          <w:sz w:val="20"/>
          <w:szCs w:val="20"/>
        </w:rPr>
        <w:t xml:space="preserve">2L </w:t>
      </w:r>
      <w:r w:rsidRPr="00975089">
        <w:rPr>
          <w:rFonts w:cs="Times New Roman"/>
          <w:color w:val="595454" w:themeColor="text1"/>
          <w:sz w:val="20"/>
          <w:szCs w:val="20"/>
        </w:rPr>
        <w:t xml:space="preserve">NSCLC patient population.  In </w:t>
      </w:r>
      <w:proofErr w:type="spellStart"/>
      <w:r w:rsidRPr="00975089">
        <w:rPr>
          <w:rFonts w:cs="Times New Roman"/>
          <w:color w:val="595454" w:themeColor="text1"/>
          <w:sz w:val="20"/>
          <w:szCs w:val="20"/>
        </w:rPr>
        <w:t>CheckMate</w:t>
      </w:r>
      <w:proofErr w:type="spellEnd"/>
      <w:r w:rsidRPr="00975089">
        <w:rPr>
          <w:rFonts w:cs="Times New Roman"/>
          <w:color w:val="595454" w:themeColor="text1"/>
          <w:sz w:val="20"/>
          <w:szCs w:val="20"/>
        </w:rPr>
        <w:t xml:space="preserve"> 017, the proportion of patients treated with nivolumab alive at 5 years was </w:t>
      </w:r>
      <w:r w:rsidR="00626B7D" w:rsidRPr="00626B7D">
        <w:rPr>
          <w:rFonts w:cs="Times New Roman"/>
          <w:sz w:val="20"/>
          <w:szCs w:val="20"/>
          <w:highlight w:val="black"/>
          <w:u w:val="single"/>
        </w:rPr>
        <w:t>XX</w:t>
      </w:r>
      <w:r w:rsidR="00626B7D">
        <w:rPr>
          <w:rFonts w:cs="Times New Roman"/>
          <w:sz w:val="20"/>
          <w:szCs w:val="20"/>
          <w:highlight w:val="black"/>
          <w:u w:val="single"/>
        </w:rPr>
        <w:t>X</w:t>
      </w:r>
      <w:r w:rsidR="00626B7D" w:rsidRPr="00626B7D">
        <w:rPr>
          <w:rFonts w:cs="Times New Roman"/>
          <w:sz w:val="20"/>
          <w:szCs w:val="20"/>
          <w:highlight w:val="black"/>
          <w:u w:val="single"/>
        </w:rPr>
        <w:t>X</w:t>
      </w:r>
      <w:r w:rsidRPr="00975089">
        <w:rPr>
          <w:rFonts w:cs="Times New Roman"/>
          <w:color w:val="595454" w:themeColor="text1"/>
          <w:sz w:val="20"/>
          <w:szCs w:val="20"/>
        </w:rPr>
        <w:t xml:space="preserve">% compared to </w:t>
      </w:r>
      <w:r w:rsidR="00626B7D" w:rsidRPr="00626B7D">
        <w:rPr>
          <w:rFonts w:cs="Times New Roman"/>
          <w:sz w:val="20"/>
          <w:szCs w:val="20"/>
          <w:highlight w:val="black"/>
        </w:rPr>
        <w:t>X</w:t>
      </w:r>
      <w:r w:rsidR="00626B7D">
        <w:rPr>
          <w:rFonts w:cs="Times New Roman"/>
          <w:sz w:val="20"/>
          <w:szCs w:val="20"/>
          <w:highlight w:val="black"/>
          <w:u w:val="single"/>
        </w:rPr>
        <w:t>X</w:t>
      </w:r>
      <w:r w:rsidR="00626B7D" w:rsidRPr="00626B7D">
        <w:rPr>
          <w:rFonts w:cs="Times New Roman"/>
          <w:sz w:val="20"/>
          <w:szCs w:val="20"/>
          <w:highlight w:val="black"/>
          <w:u w:val="single"/>
        </w:rPr>
        <w:t>X</w:t>
      </w:r>
      <w:r w:rsidRPr="00975089">
        <w:rPr>
          <w:rFonts w:cs="Times New Roman"/>
          <w:color w:val="595454" w:themeColor="text1"/>
          <w:sz w:val="20"/>
          <w:szCs w:val="20"/>
        </w:rPr>
        <w:t xml:space="preserve">% with docetaxel.  In </w:t>
      </w:r>
      <w:proofErr w:type="spellStart"/>
      <w:r w:rsidRPr="00975089">
        <w:rPr>
          <w:rFonts w:cs="Times New Roman"/>
          <w:color w:val="595454" w:themeColor="text1"/>
          <w:sz w:val="20"/>
          <w:szCs w:val="20"/>
        </w:rPr>
        <w:t>CheckMate</w:t>
      </w:r>
      <w:proofErr w:type="spellEnd"/>
      <w:r w:rsidRPr="00975089">
        <w:rPr>
          <w:rFonts w:cs="Times New Roman"/>
          <w:color w:val="595454" w:themeColor="text1"/>
          <w:sz w:val="20"/>
          <w:szCs w:val="20"/>
        </w:rPr>
        <w:t xml:space="preserve"> 057, the proportion of patients treated with nivolumab alive at 5 years was </w:t>
      </w:r>
      <w:r w:rsidR="00626B7D" w:rsidRPr="00626B7D">
        <w:rPr>
          <w:rFonts w:cs="Times New Roman"/>
          <w:sz w:val="20"/>
          <w:szCs w:val="20"/>
          <w:highlight w:val="black"/>
          <w:u w:val="single"/>
        </w:rPr>
        <w:t>XX</w:t>
      </w:r>
      <w:r w:rsidR="00626B7D">
        <w:rPr>
          <w:rFonts w:cs="Times New Roman"/>
          <w:sz w:val="20"/>
          <w:szCs w:val="20"/>
          <w:highlight w:val="black"/>
          <w:u w:val="single"/>
        </w:rPr>
        <w:t>X</w:t>
      </w:r>
      <w:r w:rsidR="00626B7D" w:rsidRPr="00626B7D">
        <w:rPr>
          <w:rFonts w:cs="Times New Roman"/>
          <w:sz w:val="20"/>
          <w:szCs w:val="20"/>
          <w:highlight w:val="black"/>
          <w:u w:val="single"/>
        </w:rPr>
        <w:t>X</w:t>
      </w:r>
      <w:r w:rsidRPr="00975089">
        <w:rPr>
          <w:rFonts w:cs="Times New Roman"/>
          <w:color w:val="595454" w:themeColor="text1"/>
          <w:sz w:val="20"/>
          <w:szCs w:val="20"/>
        </w:rPr>
        <w:t xml:space="preserve">% compared to </w:t>
      </w:r>
      <w:r w:rsidR="00626B7D" w:rsidRPr="00626B7D">
        <w:rPr>
          <w:rFonts w:cs="Times New Roman"/>
          <w:sz w:val="20"/>
          <w:szCs w:val="20"/>
          <w:highlight w:val="black"/>
          <w:u w:val="single"/>
        </w:rPr>
        <w:t>X</w:t>
      </w:r>
      <w:r w:rsidR="00626B7D">
        <w:rPr>
          <w:rFonts w:cs="Times New Roman"/>
          <w:sz w:val="20"/>
          <w:szCs w:val="20"/>
          <w:highlight w:val="black"/>
          <w:u w:val="single"/>
        </w:rPr>
        <w:t>X</w:t>
      </w:r>
      <w:r w:rsidR="00626B7D" w:rsidRPr="00626B7D">
        <w:rPr>
          <w:rFonts w:cs="Times New Roman"/>
          <w:sz w:val="20"/>
          <w:szCs w:val="20"/>
          <w:highlight w:val="black"/>
          <w:u w:val="single"/>
        </w:rPr>
        <w:t>X</w:t>
      </w:r>
      <w:r w:rsidRPr="00975089">
        <w:rPr>
          <w:rFonts w:cs="Times New Roman"/>
          <w:color w:val="595454" w:themeColor="text1"/>
          <w:sz w:val="20"/>
          <w:szCs w:val="20"/>
        </w:rPr>
        <w:t>% with docetaxel.</w:t>
      </w:r>
    </w:p>
    <w:p w14:paraId="16DD8BF8" w14:textId="77777777" w:rsidR="00975089" w:rsidRPr="00975089" w:rsidRDefault="00975089" w:rsidP="00975089">
      <w:pPr>
        <w:pStyle w:val="BodyText"/>
        <w:jc w:val="both"/>
        <w:rPr>
          <w:rFonts w:cs="Times New Roman"/>
          <w:color w:val="595454" w:themeColor="text1"/>
          <w:sz w:val="20"/>
          <w:szCs w:val="20"/>
        </w:rPr>
      </w:pPr>
      <w:r w:rsidRPr="00975089">
        <w:rPr>
          <w:rFonts w:cs="Times New Roman"/>
          <w:color w:val="595454" w:themeColor="text1"/>
          <w:sz w:val="20"/>
          <w:szCs w:val="20"/>
        </w:rPr>
        <w:t xml:space="preserve">Updated 5-year Kaplan Meier curves from </w:t>
      </w:r>
      <w:proofErr w:type="spellStart"/>
      <w:r w:rsidRPr="00975089">
        <w:rPr>
          <w:rFonts w:cs="Times New Roman"/>
          <w:color w:val="595454" w:themeColor="text1"/>
          <w:sz w:val="20"/>
          <w:szCs w:val="20"/>
        </w:rPr>
        <w:t>CheckMate</w:t>
      </w:r>
      <w:proofErr w:type="spellEnd"/>
      <w:r w:rsidRPr="00975089">
        <w:rPr>
          <w:rFonts w:cs="Times New Roman"/>
          <w:color w:val="595454" w:themeColor="text1"/>
          <w:sz w:val="20"/>
          <w:szCs w:val="20"/>
        </w:rPr>
        <w:t xml:space="preserve"> 057 demonstrate:</w:t>
      </w:r>
    </w:p>
    <w:p w14:paraId="4C4F67CF" w14:textId="76FF0D51" w:rsidR="00975089" w:rsidRPr="00975089" w:rsidRDefault="00975089" w:rsidP="00975089">
      <w:pPr>
        <w:pStyle w:val="BodyText"/>
        <w:numPr>
          <w:ilvl w:val="1"/>
          <w:numId w:val="17"/>
        </w:numPr>
        <w:jc w:val="both"/>
        <w:rPr>
          <w:rFonts w:cs="Times New Roman"/>
          <w:color w:val="595454" w:themeColor="text1"/>
          <w:sz w:val="20"/>
          <w:szCs w:val="20"/>
        </w:rPr>
      </w:pPr>
      <w:r w:rsidRPr="00975089">
        <w:rPr>
          <w:rFonts w:cs="Times New Roman"/>
          <w:color w:val="595454" w:themeColor="text1"/>
          <w:sz w:val="20"/>
          <w:szCs w:val="20"/>
        </w:rPr>
        <w:t xml:space="preserve">For baseline PD-L1 positive patients, the proportion treated within nivolumab alive at 5 years was </w:t>
      </w:r>
      <w:r w:rsidR="00626B7D" w:rsidRPr="00626B7D">
        <w:rPr>
          <w:rFonts w:cs="Times New Roman"/>
          <w:sz w:val="20"/>
          <w:szCs w:val="20"/>
          <w:highlight w:val="black"/>
          <w:u w:val="single"/>
        </w:rPr>
        <w:t>XX</w:t>
      </w:r>
      <w:r w:rsidRPr="00626B7D">
        <w:rPr>
          <w:rFonts w:cs="Times New Roman"/>
          <w:sz w:val="20"/>
          <w:szCs w:val="20"/>
          <w:highlight w:val="black"/>
          <w:u w:val="single"/>
        </w:rPr>
        <w:t>.</w:t>
      </w:r>
      <w:r w:rsidR="00626B7D" w:rsidRPr="00626B7D">
        <w:rPr>
          <w:rFonts w:cs="Times New Roman"/>
          <w:sz w:val="20"/>
          <w:szCs w:val="20"/>
          <w:highlight w:val="black"/>
          <w:u w:val="single"/>
        </w:rPr>
        <w:t>X</w:t>
      </w:r>
      <w:r w:rsidRPr="00975089">
        <w:rPr>
          <w:rFonts w:cs="Times New Roman"/>
          <w:color w:val="595454" w:themeColor="text1"/>
          <w:sz w:val="20"/>
          <w:szCs w:val="20"/>
        </w:rPr>
        <w:t xml:space="preserve">% compared to </w:t>
      </w:r>
      <w:r w:rsidR="00626B7D" w:rsidRPr="00626B7D">
        <w:rPr>
          <w:rFonts w:cs="Times New Roman"/>
          <w:sz w:val="20"/>
          <w:szCs w:val="20"/>
          <w:highlight w:val="black"/>
          <w:u w:val="single"/>
        </w:rPr>
        <w:t>X.X</w:t>
      </w:r>
      <w:r w:rsidRPr="00975089">
        <w:rPr>
          <w:rFonts w:cs="Times New Roman"/>
          <w:color w:val="595454" w:themeColor="text1"/>
          <w:sz w:val="20"/>
          <w:szCs w:val="20"/>
        </w:rPr>
        <w:t>% with docetaxel.</w:t>
      </w:r>
    </w:p>
    <w:p w14:paraId="1D4E4B51" w14:textId="7FA5E5ED" w:rsidR="00975089" w:rsidRPr="00975089" w:rsidRDefault="00975089" w:rsidP="00975089">
      <w:pPr>
        <w:pStyle w:val="BodyText"/>
        <w:numPr>
          <w:ilvl w:val="1"/>
          <w:numId w:val="17"/>
        </w:numPr>
        <w:jc w:val="both"/>
        <w:rPr>
          <w:rFonts w:cs="Times New Roman"/>
          <w:color w:val="595454" w:themeColor="text1"/>
          <w:sz w:val="20"/>
          <w:szCs w:val="20"/>
        </w:rPr>
      </w:pPr>
      <w:r w:rsidRPr="00975089">
        <w:rPr>
          <w:rFonts w:cs="Times New Roman"/>
          <w:color w:val="595454" w:themeColor="text1"/>
          <w:sz w:val="20"/>
          <w:szCs w:val="20"/>
        </w:rPr>
        <w:t xml:space="preserve">For baseline PD-L1 &lt;1% patients, the proportion treated within nivolumab alive at 5 years was </w:t>
      </w:r>
      <w:r w:rsidR="00626B7D" w:rsidRPr="00626B7D">
        <w:rPr>
          <w:rFonts w:cs="Times New Roman"/>
          <w:sz w:val="20"/>
          <w:szCs w:val="20"/>
          <w:highlight w:val="black"/>
          <w:u w:val="single"/>
        </w:rPr>
        <w:t>X.X</w:t>
      </w:r>
      <w:r w:rsidRPr="00975089">
        <w:rPr>
          <w:rFonts w:cs="Times New Roman"/>
          <w:color w:val="595454" w:themeColor="text1"/>
          <w:sz w:val="20"/>
          <w:szCs w:val="20"/>
        </w:rPr>
        <w:t xml:space="preserve">% compared to </w:t>
      </w:r>
      <w:r w:rsidR="00626B7D" w:rsidRPr="00626B7D">
        <w:rPr>
          <w:rFonts w:cs="Times New Roman"/>
          <w:sz w:val="20"/>
          <w:szCs w:val="20"/>
          <w:highlight w:val="black"/>
          <w:u w:val="single"/>
        </w:rPr>
        <w:t>X.X</w:t>
      </w:r>
      <w:r w:rsidRPr="00975089">
        <w:rPr>
          <w:rFonts w:cs="Times New Roman"/>
          <w:color w:val="595454" w:themeColor="text1"/>
          <w:sz w:val="20"/>
          <w:szCs w:val="20"/>
        </w:rPr>
        <w:t>% with docetaxel.</w:t>
      </w:r>
    </w:p>
    <w:p w14:paraId="5FAC111B" w14:textId="2612472A" w:rsidR="00975089" w:rsidRPr="00975089" w:rsidRDefault="00975089" w:rsidP="00975089">
      <w:pPr>
        <w:pStyle w:val="BodyText"/>
        <w:numPr>
          <w:ilvl w:val="1"/>
          <w:numId w:val="17"/>
        </w:numPr>
        <w:jc w:val="both"/>
        <w:rPr>
          <w:rFonts w:cs="Times New Roman"/>
          <w:color w:val="595454" w:themeColor="text1"/>
          <w:sz w:val="20"/>
          <w:szCs w:val="20"/>
        </w:rPr>
      </w:pPr>
      <w:r w:rsidRPr="00975089">
        <w:rPr>
          <w:rFonts w:cs="Times New Roman"/>
          <w:color w:val="595454" w:themeColor="text1"/>
          <w:sz w:val="20"/>
          <w:szCs w:val="20"/>
        </w:rPr>
        <w:t xml:space="preserve">For patients with unquantifiable PD-L1, the proportion treated within nivolumab alive at 5 years was </w:t>
      </w:r>
      <w:r w:rsidR="00626B7D" w:rsidRPr="00626B7D">
        <w:rPr>
          <w:rFonts w:cs="Times New Roman"/>
          <w:sz w:val="20"/>
          <w:szCs w:val="20"/>
          <w:highlight w:val="black"/>
          <w:u w:val="single"/>
        </w:rPr>
        <w:t>XXXX</w:t>
      </w:r>
      <w:r w:rsidRPr="00975089">
        <w:rPr>
          <w:rFonts w:cs="Times New Roman"/>
          <w:color w:val="595454" w:themeColor="text1"/>
          <w:sz w:val="20"/>
          <w:szCs w:val="20"/>
        </w:rPr>
        <w:t xml:space="preserve">% compared to </w:t>
      </w:r>
      <w:r w:rsidR="00626B7D" w:rsidRPr="00626B7D">
        <w:rPr>
          <w:rFonts w:cs="Times New Roman"/>
          <w:sz w:val="20"/>
          <w:szCs w:val="20"/>
          <w:highlight w:val="black"/>
          <w:u w:val="single"/>
        </w:rPr>
        <w:t>XXX</w:t>
      </w:r>
      <w:r w:rsidRPr="00975089">
        <w:rPr>
          <w:rFonts w:cs="Times New Roman"/>
          <w:color w:val="595454" w:themeColor="text1"/>
          <w:sz w:val="20"/>
          <w:szCs w:val="20"/>
        </w:rPr>
        <w:t>% with docetaxel.</w:t>
      </w:r>
    </w:p>
    <w:p w14:paraId="671918DD" w14:textId="0D350143" w:rsidR="00975089" w:rsidRPr="00975089" w:rsidRDefault="00975089" w:rsidP="00975089">
      <w:pPr>
        <w:pStyle w:val="BodyText"/>
        <w:jc w:val="both"/>
        <w:rPr>
          <w:rFonts w:cs="Times New Roman"/>
          <w:color w:val="595454" w:themeColor="text1"/>
          <w:sz w:val="20"/>
          <w:szCs w:val="20"/>
        </w:rPr>
      </w:pPr>
      <w:r w:rsidRPr="00975089">
        <w:rPr>
          <w:rFonts w:cs="Times New Roman"/>
          <w:color w:val="595454" w:themeColor="text1"/>
          <w:sz w:val="20"/>
          <w:szCs w:val="20"/>
        </w:rPr>
        <w:t xml:space="preserve">Irrespective of PD-L1 expression, treatment with nivolumab at least </w:t>
      </w:r>
      <w:proofErr w:type="spellStart"/>
      <w:r w:rsidR="00626B7D" w:rsidRPr="00626B7D">
        <w:rPr>
          <w:rFonts w:cs="Times New Roman"/>
          <w:sz w:val="20"/>
          <w:szCs w:val="20"/>
          <w:highlight w:val="black"/>
        </w:rPr>
        <w:t>xxxxxxx</w:t>
      </w:r>
      <w:proofErr w:type="spellEnd"/>
      <w:r w:rsidRPr="00975089">
        <w:rPr>
          <w:rFonts w:cs="Times New Roman"/>
          <w:color w:val="595454" w:themeColor="text1"/>
          <w:sz w:val="20"/>
          <w:szCs w:val="20"/>
        </w:rPr>
        <w:t xml:space="preserve"> overall survival rates compared to docetaxel.  These survival rates are considerably higher than those </w:t>
      </w:r>
      <w:proofErr w:type="gramStart"/>
      <w:r w:rsidRPr="00975089">
        <w:rPr>
          <w:rFonts w:cs="Times New Roman"/>
          <w:color w:val="595454" w:themeColor="text1"/>
          <w:sz w:val="20"/>
          <w:szCs w:val="20"/>
        </w:rPr>
        <w:t>taken into account</w:t>
      </w:r>
      <w:proofErr w:type="gramEnd"/>
      <w:r w:rsidRPr="00975089">
        <w:rPr>
          <w:rFonts w:cs="Times New Roman"/>
          <w:color w:val="595454" w:themeColor="text1"/>
          <w:sz w:val="20"/>
          <w:szCs w:val="20"/>
        </w:rPr>
        <w:t xml:space="preserve"> at the time of the CDF recommendation; </w:t>
      </w:r>
      <w:proofErr w:type="spellStart"/>
      <w:r w:rsidR="00626B7D" w:rsidRPr="00626B7D">
        <w:rPr>
          <w:rFonts w:cs="Times New Roman"/>
          <w:sz w:val="20"/>
          <w:szCs w:val="20"/>
          <w:highlight w:val="black"/>
          <w:u w:val="single"/>
        </w:rPr>
        <w:t>xxxxxxxxx</w:t>
      </w:r>
      <w:proofErr w:type="spellEnd"/>
      <w:r w:rsidRPr="00975089">
        <w:rPr>
          <w:rFonts w:cs="Times New Roman"/>
          <w:color w:val="595454" w:themeColor="text1"/>
          <w:sz w:val="20"/>
          <w:szCs w:val="20"/>
        </w:rPr>
        <w:t xml:space="preserve"> the figures the Evidence Review Group (“ERG”) estimated at the time.</w:t>
      </w:r>
    </w:p>
    <w:p w14:paraId="48DBD13E" w14:textId="77777777" w:rsidR="00975089" w:rsidRPr="00975089" w:rsidRDefault="00975089" w:rsidP="00975089">
      <w:pPr>
        <w:pStyle w:val="BodyText"/>
        <w:jc w:val="both"/>
        <w:rPr>
          <w:rFonts w:cs="Times New Roman"/>
          <w:b/>
          <w:i/>
          <w:color w:val="595454" w:themeColor="text1"/>
          <w:sz w:val="20"/>
          <w:szCs w:val="20"/>
        </w:rPr>
      </w:pPr>
      <w:r w:rsidRPr="00975089">
        <w:rPr>
          <w:rFonts w:cs="Times New Roman"/>
          <w:b/>
          <w:i/>
          <w:color w:val="595454" w:themeColor="text1"/>
          <w:sz w:val="20"/>
          <w:szCs w:val="20"/>
        </w:rPr>
        <w:t>The CDF Review</w:t>
      </w:r>
    </w:p>
    <w:p w14:paraId="33F71423" w14:textId="77777777" w:rsidR="00975089" w:rsidRPr="00975089" w:rsidRDefault="00975089" w:rsidP="00975089">
      <w:pPr>
        <w:pStyle w:val="BodyText"/>
        <w:jc w:val="both"/>
        <w:rPr>
          <w:rFonts w:cs="Times New Roman"/>
          <w:color w:val="595454" w:themeColor="text1"/>
          <w:sz w:val="20"/>
          <w:szCs w:val="20"/>
        </w:rPr>
      </w:pPr>
      <w:r w:rsidRPr="00975089">
        <w:rPr>
          <w:rFonts w:cs="Times New Roman"/>
          <w:color w:val="595454" w:themeColor="text1"/>
          <w:sz w:val="20"/>
          <w:szCs w:val="20"/>
        </w:rPr>
        <w:t>In July 2019, NICE began the “CDF exit” process for TA484 (</w:t>
      </w:r>
      <w:r w:rsidRPr="00975089">
        <w:rPr>
          <w:rFonts w:cs="Times New Roman"/>
          <w:i/>
          <w:color w:val="595454" w:themeColor="text1"/>
          <w:sz w:val="20"/>
          <w:szCs w:val="20"/>
        </w:rPr>
        <w:t>i.e.</w:t>
      </w:r>
      <w:r w:rsidRPr="00975089">
        <w:rPr>
          <w:rFonts w:cs="Times New Roman"/>
          <w:color w:val="595454" w:themeColor="text1"/>
          <w:sz w:val="20"/>
          <w:szCs w:val="20"/>
        </w:rPr>
        <w:t xml:space="preserve">, ID1572).  For this, it published an updated Scope for the CDF review (“2019 Scope”).  The 2019 Scope confirmed that the relevant patient population for the CDF review remained the same as in 2015, </w:t>
      </w:r>
      <w:r w:rsidRPr="00975089">
        <w:rPr>
          <w:rFonts w:cs="Times New Roman"/>
          <w:i/>
          <w:color w:val="595454" w:themeColor="text1"/>
          <w:sz w:val="20"/>
          <w:szCs w:val="20"/>
        </w:rPr>
        <w:t>i.e.</w:t>
      </w:r>
      <w:r w:rsidRPr="00975089">
        <w:rPr>
          <w:rFonts w:cs="Times New Roman"/>
          <w:color w:val="595454" w:themeColor="text1"/>
          <w:sz w:val="20"/>
          <w:szCs w:val="20"/>
        </w:rPr>
        <w:t>,</w:t>
      </w:r>
      <w:r w:rsidRPr="00975089">
        <w:rPr>
          <w:rFonts w:cs="Times New Roman"/>
          <w:color w:val="595454" w:themeColor="text1"/>
          <w:sz w:val="20"/>
          <w:szCs w:val="20"/>
          <w:lang w:val="en-US"/>
        </w:rPr>
        <w:t xml:space="preserve"> the</w:t>
      </w:r>
      <w:r w:rsidRPr="00975089">
        <w:rPr>
          <w:rFonts w:cs="Times New Roman"/>
          <w:color w:val="595454" w:themeColor="text1"/>
          <w:sz w:val="20"/>
          <w:szCs w:val="20"/>
        </w:rPr>
        <w:t xml:space="preserve"> whole patient population, irrespective of PD-L1 expression.  On that basis, BMS submitted clinical data to NICE for the whole NSQ NSCLC population.  </w:t>
      </w:r>
    </w:p>
    <w:p w14:paraId="28CC49AC" w14:textId="76C6A48E" w:rsidR="00975089" w:rsidRPr="00975089" w:rsidRDefault="00975089" w:rsidP="00975089">
      <w:pPr>
        <w:pStyle w:val="BodyText"/>
        <w:jc w:val="both"/>
        <w:rPr>
          <w:rFonts w:cs="Times New Roman"/>
          <w:color w:val="595454" w:themeColor="text1"/>
          <w:sz w:val="20"/>
          <w:szCs w:val="20"/>
        </w:rPr>
      </w:pPr>
      <w:r w:rsidRPr="00975089">
        <w:rPr>
          <w:rFonts w:cs="Times New Roman"/>
          <w:color w:val="595454" w:themeColor="text1"/>
          <w:sz w:val="20"/>
          <w:szCs w:val="20"/>
        </w:rPr>
        <w:t xml:space="preserve">Around the same time, however, NICE provided BMS with non-binding terms of reference for the CDF review (“Terms of </w:t>
      </w:r>
      <w:r w:rsidR="00516124">
        <w:rPr>
          <w:rFonts w:cs="Times New Roman"/>
          <w:color w:val="595454" w:themeColor="text1"/>
          <w:sz w:val="20"/>
          <w:szCs w:val="20"/>
        </w:rPr>
        <w:t>Engagement</w:t>
      </w:r>
      <w:r w:rsidRPr="00975089">
        <w:rPr>
          <w:rFonts w:cs="Times New Roman"/>
          <w:color w:val="595454" w:themeColor="text1"/>
          <w:sz w:val="20"/>
          <w:szCs w:val="20"/>
        </w:rPr>
        <w:t xml:space="preserve">”).  The purpose of the document was to set out the Appraisal Committee’s preferred assumptions and provide context.  The Terms of </w:t>
      </w:r>
      <w:r w:rsidR="00516124">
        <w:rPr>
          <w:rFonts w:cs="Times New Roman"/>
          <w:color w:val="595454" w:themeColor="text1"/>
          <w:sz w:val="20"/>
          <w:szCs w:val="20"/>
        </w:rPr>
        <w:t>Engagement</w:t>
      </w:r>
      <w:r w:rsidRPr="00975089">
        <w:rPr>
          <w:rFonts w:cs="Times New Roman"/>
          <w:color w:val="595454" w:themeColor="text1"/>
          <w:sz w:val="20"/>
          <w:szCs w:val="20"/>
        </w:rPr>
        <w:t xml:space="preserve"> state the Committee’s preference to focus on PD-L1 positive patients. </w:t>
      </w:r>
    </w:p>
    <w:p w14:paraId="403325D9" w14:textId="40AF63DE" w:rsidR="00975089" w:rsidRPr="00975089" w:rsidRDefault="00975089" w:rsidP="00975089">
      <w:pPr>
        <w:pStyle w:val="BodyText"/>
        <w:jc w:val="both"/>
        <w:rPr>
          <w:rFonts w:cs="Times New Roman"/>
          <w:color w:val="595454" w:themeColor="text1"/>
          <w:sz w:val="20"/>
          <w:szCs w:val="20"/>
        </w:rPr>
      </w:pPr>
      <w:r w:rsidRPr="00975089">
        <w:rPr>
          <w:rFonts w:cs="Times New Roman"/>
          <w:color w:val="595454" w:themeColor="text1"/>
          <w:sz w:val="20"/>
          <w:szCs w:val="20"/>
        </w:rPr>
        <w:t>In subsequent correspondence, NICE representatives made clear: “</w:t>
      </w:r>
      <w:r w:rsidR="00807882" w:rsidRPr="000C79DC">
        <w:rPr>
          <w:rFonts w:cs="Times New Roman"/>
          <w:i/>
          <w:color w:val="595454" w:themeColor="text1"/>
          <w:sz w:val="20"/>
          <w:szCs w:val="20"/>
        </w:rPr>
        <w:t xml:space="preserve">[the] </w:t>
      </w:r>
      <w:r w:rsidRPr="00975089">
        <w:rPr>
          <w:rFonts w:cs="Times New Roman"/>
          <w:i/>
          <w:color w:val="595454" w:themeColor="text1"/>
          <w:sz w:val="20"/>
          <w:szCs w:val="20"/>
        </w:rPr>
        <w:t>PD-L1 &lt;1% population data will not be considered by committee as part of the CDF review.</w:t>
      </w:r>
      <w:r w:rsidRPr="00975089">
        <w:rPr>
          <w:rFonts w:cs="Times New Roman"/>
          <w:color w:val="595454" w:themeColor="text1"/>
          <w:sz w:val="20"/>
          <w:szCs w:val="20"/>
        </w:rPr>
        <w:t>”</w:t>
      </w:r>
      <w:r w:rsidRPr="00975089">
        <w:rPr>
          <w:rFonts w:cs="Times New Roman"/>
          <w:color w:val="595454" w:themeColor="text1"/>
          <w:sz w:val="20"/>
          <w:szCs w:val="20"/>
          <w:vertAlign w:val="superscript"/>
        </w:rPr>
        <w:footnoteReference w:id="3"/>
      </w:r>
      <w:r w:rsidRPr="00975089">
        <w:rPr>
          <w:rFonts w:cs="Times New Roman"/>
          <w:color w:val="595454" w:themeColor="text1"/>
          <w:sz w:val="20"/>
          <w:szCs w:val="20"/>
        </w:rPr>
        <w:t xml:space="preserve">  NICE has refused to consider any data that concerns PD</w:t>
      </w:r>
      <w:r w:rsidRPr="00975089">
        <w:rPr>
          <w:rFonts w:cs="Times New Roman"/>
          <w:color w:val="595454" w:themeColor="text1"/>
          <w:sz w:val="20"/>
          <w:szCs w:val="20"/>
        </w:rPr>
        <w:noBreakHyphen/>
        <w:t>L1 &lt;1% (or inconclusive PD-L1) patients.  Th</w:t>
      </w:r>
      <w:r w:rsidR="008F6EC7">
        <w:rPr>
          <w:rFonts w:cs="Times New Roman"/>
          <w:color w:val="595454" w:themeColor="text1"/>
          <w:sz w:val="20"/>
          <w:szCs w:val="20"/>
        </w:rPr>
        <w:t xml:space="preserve">at was </w:t>
      </w:r>
      <w:proofErr w:type="gramStart"/>
      <w:r w:rsidRPr="00975089">
        <w:rPr>
          <w:rFonts w:cs="Times New Roman"/>
          <w:color w:val="595454" w:themeColor="text1"/>
          <w:sz w:val="20"/>
          <w:szCs w:val="20"/>
        </w:rPr>
        <w:t>despite the fact that</w:t>
      </w:r>
      <w:proofErr w:type="gramEnd"/>
      <w:r w:rsidRPr="00975089">
        <w:rPr>
          <w:rFonts w:cs="Times New Roman"/>
          <w:color w:val="595454" w:themeColor="text1"/>
          <w:sz w:val="20"/>
          <w:szCs w:val="20"/>
        </w:rPr>
        <w:t xml:space="preserve"> BMS’ submissions include such data; and that the ERG has included the whole patient population in its review. </w:t>
      </w:r>
    </w:p>
    <w:p w14:paraId="053FD1EC" w14:textId="77777777" w:rsidR="00975089" w:rsidRPr="00975089" w:rsidRDefault="00975089" w:rsidP="00975089">
      <w:pPr>
        <w:pStyle w:val="BodyText"/>
        <w:jc w:val="both"/>
        <w:rPr>
          <w:rFonts w:cs="Times New Roman"/>
          <w:color w:val="595454" w:themeColor="text1"/>
          <w:sz w:val="20"/>
          <w:szCs w:val="20"/>
        </w:rPr>
      </w:pPr>
      <w:r w:rsidRPr="00975089">
        <w:rPr>
          <w:rFonts w:cs="Times New Roman"/>
          <w:color w:val="595454" w:themeColor="text1"/>
          <w:sz w:val="20"/>
          <w:szCs w:val="20"/>
        </w:rPr>
        <w:t xml:space="preserve">The Appraisal Committee’s position is that the 2017 CDF recommendation precludes any further consideration of PD-L1 &lt;1% patients.  In other words, in August 2019, NICE adopted an internal approach by which the CDF recommendation would supersede the </w:t>
      </w:r>
      <w:r w:rsidRPr="00975089">
        <w:rPr>
          <w:rFonts w:cs="Times New Roman"/>
          <w:color w:val="595454" w:themeColor="text1"/>
          <w:sz w:val="20"/>
          <w:szCs w:val="20"/>
        </w:rPr>
        <w:lastRenderedPageBreak/>
        <w:t>2015 and 2019 Scopes.  As a result, the FAD limits itself to considering only the evidence for the PD-L1 positive sub-group and limits the recommendation to this sub-group.</w:t>
      </w:r>
    </w:p>
    <w:p w14:paraId="7C650746" w14:textId="77777777" w:rsidR="00975089" w:rsidRPr="00975089" w:rsidRDefault="00975089" w:rsidP="00975089">
      <w:pPr>
        <w:pStyle w:val="Heading1"/>
        <w:numPr>
          <w:ilvl w:val="0"/>
          <w:numId w:val="6"/>
        </w:numPr>
        <w:jc w:val="both"/>
        <w:rPr>
          <w:rFonts w:asciiTheme="minorHAnsi" w:hAnsiTheme="minorHAnsi" w:cs="Times New Roman"/>
          <w:b/>
          <w:color w:val="595454" w:themeColor="text1"/>
          <w:sz w:val="20"/>
          <w:szCs w:val="20"/>
        </w:rPr>
      </w:pPr>
      <w:r w:rsidRPr="00975089">
        <w:rPr>
          <w:rFonts w:asciiTheme="minorHAnsi" w:hAnsiTheme="minorHAnsi" w:cs="Times New Roman"/>
          <w:b/>
          <w:color w:val="595454" w:themeColor="text1"/>
          <w:sz w:val="20"/>
          <w:szCs w:val="20"/>
        </w:rPr>
        <w:t>Summary of Appeal Grounds</w:t>
      </w:r>
    </w:p>
    <w:p w14:paraId="4AD4FFA4" w14:textId="77777777" w:rsidR="00975089" w:rsidRPr="00975089" w:rsidRDefault="00975089" w:rsidP="00975089">
      <w:pPr>
        <w:pStyle w:val="BodyText"/>
        <w:jc w:val="both"/>
        <w:rPr>
          <w:rFonts w:cs="Times New Roman"/>
          <w:color w:val="595454" w:themeColor="text1"/>
          <w:sz w:val="20"/>
          <w:szCs w:val="20"/>
        </w:rPr>
      </w:pPr>
      <w:r w:rsidRPr="00975089">
        <w:rPr>
          <w:rFonts w:cs="Times New Roman"/>
          <w:color w:val="595454" w:themeColor="text1"/>
          <w:sz w:val="20"/>
          <w:szCs w:val="20"/>
        </w:rPr>
        <w:t>In BMS’ view, the decision to restrict the CDF review to PD-L1 positive patients gives rise to multiple grounds for appeal.  Specifically: (</w:t>
      </w:r>
      <w:proofErr w:type="spellStart"/>
      <w:r w:rsidRPr="00975089">
        <w:rPr>
          <w:rFonts w:cs="Times New Roman"/>
          <w:color w:val="595454" w:themeColor="text1"/>
          <w:sz w:val="20"/>
          <w:szCs w:val="20"/>
        </w:rPr>
        <w:t>i</w:t>
      </w:r>
      <w:proofErr w:type="spellEnd"/>
      <w:r w:rsidRPr="00975089">
        <w:rPr>
          <w:rFonts w:cs="Times New Roman"/>
          <w:color w:val="595454" w:themeColor="text1"/>
          <w:sz w:val="20"/>
          <w:szCs w:val="20"/>
        </w:rPr>
        <w:t>) the CDF review process was procedurally unfair (Ground 1(a)); (ii) the review breaches NICE’s human rights and equality obligations (Ground 1(b)); and (iii) NICE has reached unreasonable conclusions in light of the evidence submitted (Ground 2).</w:t>
      </w:r>
    </w:p>
    <w:p w14:paraId="6860101E" w14:textId="77777777" w:rsidR="00975089" w:rsidRPr="00975089" w:rsidRDefault="00975089" w:rsidP="00975089">
      <w:pPr>
        <w:pStyle w:val="BodyText"/>
        <w:jc w:val="both"/>
        <w:rPr>
          <w:rFonts w:cs="Times New Roman"/>
          <w:b/>
          <w:bCs/>
          <w:color w:val="595454" w:themeColor="text1"/>
          <w:sz w:val="20"/>
          <w:szCs w:val="20"/>
        </w:rPr>
      </w:pPr>
      <w:r w:rsidRPr="00975089">
        <w:rPr>
          <w:rFonts w:cs="Times New Roman"/>
          <w:b/>
          <w:color w:val="595454" w:themeColor="text1"/>
          <w:sz w:val="20"/>
          <w:szCs w:val="20"/>
        </w:rPr>
        <w:t>Procedural Unfairness — Ground 1(a)</w:t>
      </w:r>
    </w:p>
    <w:p w14:paraId="48572B0F" w14:textId="5A501ECA" w:rsidR="00975089" w:rsidRPr="00975089" w:rsidRDefault="00975089" w:rsidP="00975089">
      <w:pPr>
        <w:pStyle w:val="BodyText"/>
        <w:numPr>
          <w:ilvl w:val="0"/>
          <w:numId w:val="19"/>
        </w:numPr>
        <w:jc w:val="both"/>
        <w:rPr>
          <w:rFonts w:cs="Times New Roman"/>
          <w:color w:val="595454" w:themeColor="text1"/>
          <w:sz w:val="20"/>
          <w:szCs w:val="20"/>
        </w:rPr>
      </w:pPr>
      <w:r w:rsidRPr="00975089">
        <w:rPr>
          <w:rFonts w:cs="Times New Roman"/>
          <w:color w:val="595454" w:themeColor="text1"/>
          <w:sz w:val="20"/>
          <w:szCs w:val="20"/>
        </w:rPr>
        <w:t xml:space="preserve">By focusing on PD-L1 </w:t>
      </w:r>
      <w:r w:rsidRPr="00975089">
        <w:rPr>
          <w:rFonts w:cs="Arial"/>
          <w:color w:val="595454" w:themeColor="text1"/>
          <w:sz w:val="20"/>
          <w:szCs w:val="20"/>
        </w:rPr>
        <w:t>≥</w:t>
      </w:r>
      <w:r w:rsidRPr="00975089">
        <w:rPr>
          <w:rFonts w:cs="Times New Roman"/>
          <w:color w:val="595454" w:themeColor="text1"/>
          <w:sz w:val="20"/>
          <w:szCs w:val="20"/>
        </w:rPr>
        <w:t>1% patients alone, the CDF review</w:t>
      </w:r>
      <w:r w:rsidR="003427ED">
        <w:rPr>
          <w:rFonts w:cs="Times New Roman"/>
          <w:color w:val="595454" w:themeColor="text1"/>
          <w:sz w:val="20"/>
          <w:szCs w:val="20"/>
        </w:rPr>
        <w:t xml:space="preserve"> undermines </w:t>
      </w:r>
      <w:r w:rsidRPr="00975089">
        <w:rPr>
          <w:rFonts w:cs="Times New Roman"/>
          <w:color w:val="595454" w:themeColor="text1"/>
          <w:sz w:val="20"/>
          <w:szCs w:val="20"/>
        </w:rPr>
        <w:t>both the 2015 and 2019 Scopes.  Both Scopes encompass the whole NSQ NCLSC patient population.  NICE must at the very least consider evidence for the whole population.  NICE has not provided clear and adequate reasons to justify this departure from the Scope.  To have done so is procedurally unsound and breaches the Methods Guide.</w:t>
      </w:r>
    </w:p>
    <w:p w14:paraId="531BC852" w14:textId="569D4EAA" w:rsidR="00975089" w:rsidRPr="00975089" w:rsidRDefault="00975089" w:rsidP="00975089">
      <w:pPr>
        <w:pStyle w:val="BodyText"/>
        <w:numPr>
          <w:ilvl w:val="0"/>
          <w:numId w:val="19"/>
        </w:numPr>
        <w:jc w:val="both"/>
        <w:rPr>
          <w:rFonts w:cs="Times New Roman"/>
          <w:color w:val="595454" w:themeColor="text1"/>
          <w:sz w:val="20"/>
          <w:szCs w:val="20"/>
        </w:rPr>
      </w:pPr>
      <w:r w:rsidRPr="00975089">
        <w:rPr>
          <w:rFonts w:cs="Times New Roman"/>
          <w:color w:val="595454" w:themeColor="text1"/>
          <w:sz w:val="20"/>
          <w:szCs w:val="20"/>
        </w:rPr>
        <w:t xml:space="preserve">The Appraisal Committee has incorrectly assumed that a CDF recommendation narrows the remit of the CDF review.  The Methods Guide does not say this or suggest it.  </w:t>
      </w:r>
      <w:r w:rsidR="008F6EC7">
        <w:rPr>
          <w:rFonts w:cs="Times New Roman"/>
          <w:color w:val="595454" w:themeColor="text1"/>
          <w:sz w:val="20"/>
          <w:szCs w:val="20"/>
        </w:rPr>
        <w:t>T</w:t>
      </w:r>
      <w:r w:rsidRPr="00975089">
        <w:rPr>
          <w:rFonts w:cs="Times New Roman"/>
          <w:color w:val="595454" w:themeColor="text1"/>
          <w:sz w:val="20"/>
          <w:szCs w:val="20"/>
        </w:rPr>
        <w:t xml:space="preserve">he Methods Guide says that no changes to the Scope may be considered during a CDF review.  The Appraisal Committee’s approach lacks any procedural basis and is inappropriate and unfair.  Particularly so, given that the 2015 and 2019 Scopes, the Methods Guide, as well as other documents created the legitimate expectation that the CDF review would consider the clinical evidence generated in all patients, regardless of PD-L1 expression. </w:t>
      </w:r>
    </w:p>
    <w:p w14:paraId="6BE0E4E0" w14:textId="77777777" w:rsidR="00975089" w:rsidRPr="00975089" w:rsidRDefault="00975089" w:rsidP="00975089">
      <w:pPr>
        <w:pStyle w:val="BodyText"/>
        <w:numPr>
          <w:ilvl w:val="0"/>
          <w:numId w:val="19"/>
        </w:numPr>
        <w:jc w:val="both"/>
        <w:rPr>
          <w:rFonts w:cs="Times New Roman"/>
          <w:color w:val="595454" w:themeColor="text1"/>
          <w:sz w:val="20"/>
          <w:szCs w:val="20"/>
        </w:rPr>
      </w:pPr>
      <w:r w:rsidRPr="00975089">
        <w:rPr>
          <w:rFonts w:cs="Times New Roman"/>
          <w:color w:val="595454" w:themeColor="text1"/>
          <w:sz w:val="20"/>
          <w:szCs w:val="20"/>
        </w:rPr>
        <w:t xml:space="preserve">NICE’s approach breaches numerous public and administrative law principles.  In its review, the Institute has failed to take relevant evidence into account.  It has undermined BMS’ right to a fair hearing.  The Institute has unjustifiably fettered its own decision.  NICE has failed to explain or justify its decisions.  </w:t>
      </w:r>
    </w:p>
    <w:p w14:paraId="2DB96594" w14:textId="77777777" w:rsidR="00975089" w:rsidRPr="00975089" w:rsidRDefault="00975089" w:rsidP="00975089">
      <w:pPr>
        <w:pStyle w:val="BodyText"/>
        <w:jc w:val="both"/>
        <w:rPr>
          <w:rFonts w:cs="Times New Roman"/>
          <w:b/>
          <w:color w:val="595454" w:themeColor="text1"/>
          <w:sz w:val="20"/>
          <w:szCs w:val="20"/>
        </w:rPr>
      </w:pPr>
      <w:r w:rsidRPr="00975089">
        <w:rPr>
          <w:rFonts w:cs="Times New Roman"/>
          <w:b/>
          <w:color w:val="595454" w:themeColor="text1"/>
          <w:sz w:val="20"/>
          <w:szCs w:val="20"/>
        </w:rPr>
        <w:t>Breach of Human Rights and Equalities Laws — Ground 1(b)</w:t>
      </w:r>
    </w:p>
    <w:p w14:paraId="3C7AB083" w14:textId="4660906F" w:rsidR="00975089" w:rsidRPr="00975089" w:rsidRDefault="00975089" w:rsidP="00975089">
      <w:pPr>
        <w:pStyle w:val="BodyText"/>
        <w:numPr>
          <w:ilvl w:val="0"/>
          <w:numId w:val="20"/>
        </w:numPr>
        <w:jc w:val="both"/>
        <w:rPr>
          <w:rFonts w:cs="Times New Roman"/>
          <w:color w:val="595454" w:themeColor="text1"/>
          <w:sz w:val="20"/>
          <w:szCs w:val="20"/>
        </w:rPr>
      </w:pPr>
      <w:r w:rsidRPr="00975089">
        <w:rPr>
          <w:rFonts w:cs="Times New Roman"/>
          <w:color w:val="595454" w:themeColor="text1"/>
          <w:sz w:val="20"/>
          <w:szCs w:val="20"/>
        </w:rPr>
        <w:t>NICE’s decision to exclude PD-L1 &lt;1% and inconclusive PD-L1 patients from the review deprives those patients of a</w:t>
      </w:r>
      <w:r w:rsidR="008F6EC7">
        <w:rPr>
          <w:rFonts w:cs="Times New Roman"/>
          <w:color w:val="595454" w:themeColor="text1"/>
          <w:sz w:val="20"/>
          <w:szCs w:val="20"/>
        </w:rPr>
        <w:t xml:space="preserve"> </w:t>
      </w:r>
      <w:r w:rsidRPr="00975089">
        <w:rPr>
          <w:rFonts w:cs="Times New Roman"/>
          <w:color w:val="595454" w:themeColor="text1"/>
          <w:sz w:val="20"/>
          <w:szCs w:val="20"/>
        </w:rPr>
        <w:t>life</w:t>
      </w:r>
      <w:r w:rsidR="008F6EC7">
        <w:rPr>
          <w:rFonts w:cs="Times New Roman"/>
          <w:color w:val="595454" w:themeColor="text1"/>
          <w:sz w:val="20"/>
          <w:szCs w:val="20"/>
        </w:rPr>
        <w:t>-</w:t>
      </w:r>
      <w:r w:rsidRPr="00975089">
        <w:rPr>
          <w:rFonts w:cs="Times New Roman"/>
          <w:color w:val="595454" w:themeColor="text1"/>
          <w:sz w:val="20"/>
          <w:szCs w:val="20"/>
        </w:rPr>
        <w:t>extending treatment.  That decision was unreasonable and procedurally incorrect.  It is an unjustifiable interference in those patients’ fundamental human rights, including the right to life and to fair and equal access to life-extending treatment.  NICE has failed to uphold its legal obligation to protect those rights.  NICE’s decision creates an artificial and unreasonable distinction based on PD-L1 status.  This amounts to unjustified and unlawful discrimination.</w:t>
      </w:r>
    </w:p>
    <w:p w14:paraId="49D271F3" w14:textId="77777777" w:rsidR="00975089" w:rsidRPr="00975089" w:rsidRDefault="00975089" w:rsidP="00975089">
      <w:pPr>
        <w:pStyle w:val="BodyText"/>
        <w:jc w:val="both"/>
        <w:rPr>
          <w:rFonts w:cs="Times New Roman"/>
          <w:b/>
          <w:color w:val="595454" w:themeColor="text1"/>
          <w:sz w:val="20"/>
          <w:szCs w:val="20"/>
        </w:rPr>
      </w:pPr>
      <w:r w:rsidRPr="00975089">
        <w:rPr>
          <w:rFonts w:cs="Times New Roman"/>
          <w:b/>
          <w:color w:val="595454" w:themeColor="text1"/>
          <w:sz w:val="20"/>
          <w:szCs w:val="20"/>
        </w:rPr>
        <w:t xml:space="preserve">Unreasonable Conclusions </w:t>
      </w:r>
      <w:proofErr w:type="gramStart"/>
      <w:r w:rsidRPr="00975089">
        <w:rPr>
          <w:rFonts w:cs="Times New Roman"/>
          <w:b/>
          <w:color w:val="595454" w:themeColor="text1"/>
          <w:sz w:val="20"/>
          <w:szCs w:val="20"/>
        </w:rPr>
        <w:t>in light of</w:t>
      </w:r>
      <w:proofErr w:type="gramEnd"/>
      <w:r w:rsidRPr="00975089">
        <w:rPr>
          <w:rFonts w:cs="Times New Roman"/>
          <w:b/>
          <w:color w:val="595454" w:themeColor="text1"/>
          <w:sz w:val="20"/>
          <w:szCs w:val="20"/>
        </w:rPr>
        <w:t xml:space="preserve"> the Evidence — Ground 2</w:t>
      </w:r>
    </w:p>
    <w:p w14:paraId="296A4162" w14:textId="77777777" w:rsidR="00975089" w:rsidRPr="00975089" w:rsidRDefault="00975089" w:rsidP="00975089">
      <w:pPr>
        <w:pStyle w:val="BodyText"/>
        <w:numPr>
          <w:ilvl w:val="0"/>
          <w:numId w:val="20"/>
        </w:numPr>
        <w:jc w:val="both"/>
        <w:rPr>
          <w:rFonts w:cs="Times New Roman"/>
          <w:color w:val="595454" w:themeColor="text1"/>
        </w:rPr>
      </w:pPr>
      <w:r w:rsidRPr="00975089">
        <w:rPr>
          <w:rFonts w:cs="Times New Roman"/>
          <w:color w:val="595454" w:themeColor="text1"/>
          <w:sz w:val="20"/>
          <w:szCs w:val="20"/>
        </w:rPr>
        <w:t xml:space="preserve">The FAD is founded upon an unreasonable assessment of the evidence submitted because the Appraisal Committee refused to assess the totality of BMS’ submissions.  The assertion made in the FAD that the Appraisal Committee reviewed the data submitted is plainly wrong.  It is illogical to conclude, as the </w:t>
      </w:r>
      <w:r w:rsidRPr="00975089">
        <w:rPr>
          <w:rFonts w:cs="Times New Roman"/>
          <w:color w:val="595454" w:themeColor="text1"/>
          <w:sz w:val="20"/>
          <w:szCs w:val="20"/>
        </w:rPr>
        <w:lastRenderedPageBreak/>
        <w:t xml:space="preserve">FAD effectively does, that nivolumab is clinically and cost effective for PD-L1 patients but not for the rest of the patient population, if the Appraisal Committee has only looked at the evidence base for one of those groups. </w:t>
      </w:r>
    </w:p>
    <w:p w14:paraId="6C5B18BA" w14:textId="77777777" w:rsidR="00975089" w:rsidRPr="00975089" w:rsidRDefault="00975089" w:rsidP="00975089">
      <w:pPr>
        <w:pStyle w:val="BodyText"/>
        <w:numPr>
          <w:ilvl w:val="0"/>
          <w:numId w:val="20"/>
        </w:numPr>
        <w:jc w:val="both"/>
        <w:rPr>
          <w:rFonts w:cs="Times New Roman"/>
          <w:color w:val="595454" w:themeColor="text1"/>
        </w:rPr>
      </w:pPr>
      <w:r w:rsidRPr="00975089">
        <w:rPr>
          <w:rFonts w:cs="Times New Roman"/>
          <w:color w:val="595454" w:themeColor="text1"/>
          <w:sz w:val="20"/>
          <w:szCs w:val="20"/>
        </w:rPr>
        <w:t xml:space="preserve">The recommendation arbitrarily distinguishes between patients based on their PD-L1 status.  PD-L1 is a limited and imperfect biomarker.  It is variable, both over time and because of the heterogeneity of tumours.  Moreover, the most up-to-date data show that nivolumab is effective regardless of PD-L1 status.  To rely upon PD-L1 expression to determine which patients do or do not receive treatment in this case is illogical. </w:t>
      </w:r>
    </w:p>
    <w:p w14:paraId="7DD08663" w14:textId="77777777" w:rsidR="00975089" w:rsidRPr="00975089" w:rsidRDefault="00975089" w:rsidP="00975089">
      <w:pPr>
        <w:pStyle w:val="Heading1"/>
        <w:numPr>
          <w:ilvl w:val="0"/>
          <w:numId w:val="6"/>
        </w:numPr>
        <w:jc w:val="both"/>
        <w:rPr>
          <w:rFonts w:asciiTheme="minorHAnsi" w:hAnsiTheme="minorHAnsi" w:cs="Times New Roman"/>
          <w:b/>
          <w:color w:val="595454" w:themeColor="text1"/>
          <w:sz w:val="20"/>
          <w:szCs w:val="20"/>
        </w:rPr>
      </w:pPr>
      <w:r w:rsidRPr="00975089">
        <w:rPr>
          <w:rFonts w:asciiTheme="minorHAnsi" w:hAnsiTheme="minorHAnsi" w:cs="Times New Roman"/>
          <w:b/>
          <w:color w:val="595454" w:themeColor="text1"/>
          <w:sz w:val="20"/>
          <w:szCs w:val="20"/>
        </w:rPr>
        <w:t>Detailed Appeal Grounds</w:t>
      </w:r>
    </w:p>
    <w:p w14:paraId="43C076AE" w14:textId="77777777" w:rsidR="00975089" w:rsidRPr="00975089" w:rsidRDefault="00975089" w:rsidP="00975089">
      <w:pPr>
        <w:pStyle w:val="Heading2"/>
        <w:rPr>
          <w:rFonts w:asciiTheme="minorHAnsi" w:hAnsiTheme="minorHAnsi" w:cs="Times New Roman"/>
          <w:b w:val="0"/>
          <w:color w:val="595454" w:themeColor="text1"/>
        </w:rPr>
      </w:pPr>
      <w:r w:rsidRPr="00975089">
        <w:rPr>
          <w:rFonts w:asciiTheme="minorHAnsi" w:hAnsiTheme="minorHAnsi" w:cs="Times New Roman"/>
          <w:color w:val="595454" w:themeColor="text1"/>
        </w:rPr>
        <w:t>Ground 1(a) — NICE has failed to act fairly</w:t>
      </w:r>
    </w:p>
    <w:p w14:paraId="4995CEA5" w14:textId="77777777" w:rsidR="00975089" w:rsidRPr="00975089" w:rsidRDefault="00975089" w:rsidP="00975089">
      <w:pPr>
        <w:pStyle w:val="Heading3"/>
        <w:numPr>
          <w:ilvl w:val="2"/>
          <w:numId w:val="6"/>
        </w:numPr>
        <w:jc w:val="both"/>
        <w:rPr>
          <w:rFonts w:asciiTheme="minorHAnsi" w:hAnsiTheme="minorHAnsi" w:cs="Times New Roman"/>
          <w:color w:val="595454" w:themeColor="text1"/>
          <w:sz w:val="20"/>
          <w:szCs w:val="20"/>
        </w:rPr>
      </w:pPr>
      <w:r w:rsidRPr="00975089">
        <w:rPr>
          <w:rFonts w:asciiTheme="minorHAnsi" w:hAnsiTheme="minorHAnsi" w:cs="Times New Roman"/>
          <w:b/>
          <w:color w:val="595454" w:themeColor="text1"/>
          <w:sz w:val="20"/>
          <w:szCs w:val="20"/>
        </w:rPr>
        <w:t>Ground 1(a).1 — NICE has unjustifiably departed from the 2015 and 2019 Scopes and the Methods Guide</w:t>
      </w:r>
    </w:p>
    <w:p w14:paraId="13257D31" w14:textId="77777777" w:rsidR="00975089" w:rsidRPr="00975089" w:rsidRDefault="00975089" w:rsidP="00975089">
      <w:pPr>
        <w:pStyle w:val="BodyText"/>
        <w:jc w:val="both"/>
        <w:rPr>
          <w:rFonts w:cs="Times New Roman"/>
          <w:color w:val="595454" w:themeColor="text1"/>
          <w:sz w:val="20"/>
          <w:szCs w:val="20"/>
        </w:rPr>
      </w:pPr>
      <w:r w:rsidRPr="00975089">
        <w:rPr>
          <w:rFonts w:cs="Times New Roman"/>
          <w:color w:val="595454" w:themeColor="text1"/>
          <w:sz w:val="20"/>
          <w:szCs w:val="20"/>
        </w:rPr>
        <w:t>The Scope is a critical component of any appraisal, including where that includes a CDF review.  According to the Methods Guide,</w:t>
      </w:r>
      <w:r w:rsidRPr="00975089">
        <w:rPr>
          <w:rFonts w:eastAsia="Calibri" w:cs="Times New Roman"/>
          <w:color w:val="595454" w:themeColor="text1"/>
          <w:sz w:val="20"/>
          <w:szCs w:val="20"/>
        </w:rPr>
        <w:t xml:space="preserve"> the Scope “</w:t>
      </w:r>
      <w:r w:rsidRPr="00975089">
        <w:rPr>
          <w:rFonts w:eastAsia="Calibri" w:cs="Times New Roman"/>
          <w:i/>
          <w:color w:val="595454" w:themeColor="text1"/>
          <w:sz w:val="20"/>
          <w:szCs w:val="20"/>
        </w:rPr>
        <w:t>sets out what questions the potential appraisal will address … and focus[es] the appraisal.</w:t>
      </w:r>
      <w:r w:rsidRPr="00975089">
        <w:rPr>
          <w:rFonts w:eastAsia="Calibri" w:cs="Times New Roman"/>
          <w:color w:val="595454" w:themeColor="text1"/>
          <w:sz w:val="20"/>
          <w:szCs w:val="20"/>
        </w:rPr>
        <w:t>”</w:t>
      </w:r>
      <w:r w:rsidRPr="00975089">
        <w:rPr>
          <w:rStyle w:val="FootnoteReference"/>
          <w:rFonts w:eastAsia="Calibri" w:cs="Times New Roman"/>
          <w:color w:val="595454" w:themeColor="text1"/>
          <w:sz w:val="20"/>
          <w:szCs w:val="20"/>
        </w:rPr>
        <w:footnoteReference w:id="4"/>
      </w:r>
      <w:r w:rsidRPr="00975089">
        <w:rPr>
          <w:rFonts w:eastAsia="Calibri" w:cs="Times New Roman"/>
          <w:color w:val="595454" w:themeColor="text1"/>
          <w:sz w:val="20"/>
          <w:szCs w:val="20"/>
        </w:rPr>
        <w:t xml:space="preserve">  That includes identifying the patient population for whom the technology will be appraised.</w:t>
      </w:r>
      <w:r w:rsidRPr="00975089">
        <w:rPr>
          <w:rStyle w:val="FootnoteReference"/>
          <w:rFonts w:eastAsia="Calibri" w:cs="Times New Roman"/>
          <w:color w:val="595454" w:themeColor="text1"/>
          <w:sz w:val="20"/>
          <w:szCs w:val="20"/>
        </w:rPr>
        <w:footnoteReference w:id="5"/>
      </w:r>
      <w:r w:rsidRPr="00975089">
        <w:rPr>
          <w:rFonts w:eastAsia="Calibri" w:cs="Times New Roman"/>
          <w:color w:val="595454" w:themeColor="text1"/>
          <w:sz w:val="20"/>
          <w:szCs w:val="20"/>
        </w:rPr>
        <w:t xml:space="preserve">  More broadly, the Scope sets expectations for patients and other stakeholders (including the Secretary of State, who signs off the document) about what the eventual recommendation will and will not cover.</w:t>
      </w:r>
    </w:p>
    <w:p w14:paraId="20406DD6" w14:textId="77777777" w:rsidR="00975089" w:rsidRPr="00975089" w:rsidRDefault="00975089" w:rsidP="00975089">
      <w:pPr>
        <w:pStyle w:val="BodyText"/>
        <w:jc w:val="both"/>
        <w:rPr>
          <w:rFonts w:eastAsia="Calibri" w:cs="Times New Roman"/>
          <w:color w:val="595454" w:themeColor="text1"/>
          <w:sz w:val="20"/>
          <w:szCs w:val="20"/>
          <w:lang w:val="en-US"/>
        </w:rPr>
      </w:pPr>
      <w:r w:rsidRPr="00975089">
        <w:rPr>
          <w:rFonts w:eastAsia="Times New Roman" w:cs="Times New Roman"/>
          <w:color w:val="595454" w:themeColor="text1"/>
          <w:sz w:val="20"/>
          <w:szCs w:val="20"/>
          <w:lang w:val="en-US"/>
        </w:rPr>
        <w:t>In this case, the 2015 Scope states the patient group under review to be “</w:t>
      </w:r>
      <w:r w:rsidRPr="00975089">
        <w:rPr>
          <w:rFonts w:eastAsia="Times New Roman" w:cs="Times New Roman"/>
          <w:i/>
          <w:color w:val="595454" w:themeColor="text1"/>
          <w:sz w:val="20"/>
          <w:szCs w:val="20"/>
          <w:lang w:val="en-US"/>
        </w:rPr>
        <w:t>pe</w:t>
      </w:r>
      <w:proofErr w:type="spellStart"/>
      <w:r w:rsidRPr="00975089">
        <w:rPr>
          <w:rFonts w:eastAsia="Times New Roman" w:cs="Times New Roman"/>
          <w:i/>
          <w:color w:val="595454" w:themeColor="text1"/>
          <w:sz w:val="20"/>
          <w:szCs w:val="20"/>
        </w:rPr>
        <w:t>ople</w:t>
      </w:r>
      <w:proofErr w:type="spellEnd"/>
      <w:r w:rsidRPr="00975089">
        <w:rPr>
          <w:rFonts w:eastAsia="Times New Roman" w:cs="Times New Roman"/>
          <w:i/>
          <w:color w:val="595454" w:themeColor="text1"/>
          <w:sz w:val="20"/>
          <w:szCs w:val="20"/>
        </w:rPr>
        <w:t xml:space="preserve"> with previously treated locally advanced or metastatic non-squamous non-small cell lung cancer</w:t>
      </w:r>
      <w:r w:rsidRPr="00975089">
        <w:rPr>
          <w:rFonts w:eastAsia="Times New Roman" w:cs="Times New Roman"/>
          <w:i/>
          <w:color w:val="595454" w:themeColor="text1"/>
          <w:sz w:val="20"/>
          <w:szCs w:val="20"/>
          <w:lang w:val="en-US"/>
        </w:rPr>
        <w:t>.</w:t>
      </w:r>
      <w:r w:rsidRPr="00975089">
        <w:rPr>
          <w:rFonts w:eastAsia="Times New Roman" w:cs="Times New Roman"/>
          <w:color w:val="595454" w:themeColor="text1"/>
          <w:sz w:val="20"/>
          <w:szCs w:val="20"/>
          <w:lang w:val="en-US"/>
        </w:rPr>
        <w:t>”  That encompasses the</w:t>
      </w:r>
      <w:r w:rsidRPr="00975089">
        <w:rPr>
          <w:rFonts w:eastAsia="Calibri" w:cs="Times New Roman"/>
          <w:color w:val="595454" w:themeColor="text1"/>
          <w:sz w:val="20"/>
          <w:szCs w:val="20"/>
        </w:rPr>
        <w:t xml:space="preserve"> whole patient population in line with the product’s marketing authorization.  It also </w:t>
      </w:r>
      <w:r w:rsidRPr="00975089">
        <w:rPr>
          <w:rFonts w:eastAsia="Calibri" w:cs="Times New Roman"/>
          <w:color w:val="595454" w:themeColor="text1"/>
          <w:sz w:val="20"/>
          <w:szCs w:val="20"/>
          <w:lang w:val="en-US"/>
        </w:rPr>
        <w:t>says: “</w:t>
      </w:r>
      <w:r w:rsidRPr="00975089">
        <w:rPr>
          <w:rFonts w:eastAsia="Calibri" w:cs="Times New Roman"/>
          <w:i/>
          <w:color w:val="595454" w:themeColor="text1"/>
          <w:sz w:val="20"/>
          <w:szCs w:val="20"/>
          <w:lang w:val="en-US"/>
        </w:rPr>
        <w:t>[</w:t>
      </w:r>
      <w:proofErr w:type="spellStart"/>
      <w:r w:rsidRPr="00975089">
        <w:rPr>
          <w:rFonts w:eastAsia="Calibri" w:cs="Times New Roman"/>
          <w:i/>
          <w:color w:val="595454" w:themeColor="text1"/>
          <w:sz w:val="20"/>
          <w:szCs w:val="20"/>
          <w:lang w:val="en-US"/>
        </w:rPr>
        <w:t>i</w:t>
      </w:r>
      <w:proofErr w:type="spellEnd"/>
      <w:r w:rsidRPr="00975089">
        <w:rPr>
          <w:rFonts w:eastAsia="Calibri" w:cs="Times New Roman"/>
          <w:i/>
          <w:color w:val="595454" w:themeColor="text1"/>
          <w:sz w:val="20"/>
          <w:szCs w:val="20"/>
          <w:lang w:val="en-US"/>
        </w:rPr>
        <w:t>]f the evidence allows, consideration will be given to subgroups based on biological markers.</w:t>
      </w:r>
      <w:r w:rsidRPr="00975089">
        <w:rPr>
          <w:rFonts w:eastAsia="Calibri" w:cs="Times New Roman"/>
          <w:color w:val="595454" w:themeColor="text1"/>
          <w:sz w:val="20"/>
          <w:szCs w:val="20"/>
          <w:lang w:val="en-US"/>
        </w:rPr>
        <w:t>”</w:t>
      </w:r>
    </w:p>
    <w:p w14:paraId="62C26496" w14:textId="000920C6" w:rsidR="00975089" w:rsidRPr="00975089" w:rsidRDefault="00975089" w:rsidP="00975089">
      <w:pPr>
        <w:pStyle w:val="BodyText"/>
        <w:jc w:val="both"/>
        <w:rPr>
          <w:rFonts w:eastAsia="Calibri" w:cs="Times New Roman"/>
          <w:color w:val="595454" w:themeColor="text1"/>
          <w:sz w:val="20"/>
          <w:szCs w:val="20"/>
          <w:lang w:val="en-US"/>
        </w:rPr>
      </w:pPr>
      <w:r w:rsidRPr="00975089">
        <w:rPr>
          <w:rFonts w:eastAsia="Calibri" w:cs="Times New Roman"/>
          <w:color w:val="595454" w:themeColor="text1"/>
          <w:sz w:val="20"/>
          <w:szCs w:val="20"/>
          <w:lang w:val="en-US"/>
        </w:rPr>
        <w:t>The 2019 Scope - issued specifically to manage the product’s exit from the CDF</w:t>
      </w:r>
      <w:r w:rsidR="00516124">
        <w:rPr>
          <w:rFonts w:eastAsia="Calibri" w:cs="Times New Roman"/>
          <w:color w:val="595454" w:themeColor="text1"/>
          <w:sz w:val="20"/>
          <w:szCs w:val="20"/>
          <w:lang w:val="en-US"/>
        </w:rPr>
        <w:t xml:space="preserve"> </w:t>
      </w:r>
      <w:r w:rsidRPr="00975089">
        <w:rPr>
          <w:rFonts w:eastAsia="Calibri" w:cs="Times New Roman"/>
          <w:color w:val="595454" w:themeColor="text1"/>
          <w:sz w:val="20"/>
          <w:szCs w:val="20"/>
          <w:lang w:val="en-US"/>
        </w:rPr>
        <w:t>- is materially identical to the 2015 Scope.  Put together, both set a clear and consistent trajectory for the CDF review.  The CDF review is to address all NSQ N</w:t>
      </w:r>
      <w:r w:rsidR="00516124">
        <w:rPr>
          <w:rFonts w:eastAsia="Calibri" w:cs="Times New Roman"/>
          <w:color w:val="595454" w:themeColor="text1"/>
          <w:sz w:val="20"/>
          <w:szCs w:val="20"/>
          <w:lang w:val="en-US"/>
        </w:rPr>
        <w:t>S</w:t>
      </w:r>
      <w:r w:rsidRPr="00975089">
        <w:rPr>
          <w:rFonts w:eastAsia="Calibri" w:cs="Times New Roman"/>
          <w:color w:val="595454" w:themeColor="text1"/>
          <w:sz w:val="20"/>
          <w:szCs w:val="20"/>
          <w:lang w:val="en-US"/>
        </w:rPr>
        <w:t>CLC patients; any sub-group recommendations must be evidence</w:t>
      </w:r>
      <w:r w:rsidRPr="00975089">
        <w:rPr>
          <w:rFonts w:eastAsia="Calibri" w:cs="Times New Roman"/>
          <w:color w:val="595454" w:themeColor="text1"/>
          <w:sz w:val="20"/>
          <w:szCs w:val="20"/>
          <w:lang w:val="en-US"/>
        </w:rPr>
        <w:noBreakHyphen/>
        <w:t xml:space="preserve">based.  </w:t>
      </w:r>
    </w:p>
    <w:p w14:paraId="5699B106" w14:textId="26BEA114" w:rsidR="00975089" w:rsidRPr="00975089" w:rsidRDefault="00975089" w:rsidP="00975089">
      <w:pPr>
        <w:pStyle w:val="BodyText"/>
        <w:jc w:val="both"/>
        <w:rPr>
          <w:rFonts w:eastAsia="Calibri" w:cs="Times New Roman"/>
          <w:color w:val="595454" w:themeColor="text1"/>
          <w:sz w:val="20"/>
          <w:szCs w:val="20"/>
          <w:lang w:val="en-US"/>
        </w:rPr>
      </w:pPr>
      <w:proofErr w:type="gramStart"/>
      <w:r w:rsidRPr="00975089">
        <w:rPr>
          <w:rFonts w:eastAsia="Calibri" w:cs="Times New Roman"/>
          <w:color w:val="595454" w:themeColor="text1"/>
          <w:sz w:val="20"/>
          <w:szCs w:val="20"/>
          <w:lang w:val="en-US"/>
        </w:rPr>
        <w:t>In reality, after</w:t>
      </w:r>
      <w:proofErr w:type="gramEnd"/>
      <w:r w:rsidRPr="00975089">
        <w:rPr>
          <w:rFonts w:eastAsia="Calibri" w:cs="Times New Roman"/>
          <w:color w:val="595454" w:themeColor="text1"/>
          <w:sz w:val="20"/>
          <w:szCs w:val="20"/>
          <w:lang w:val="en-US"/>
        </w:rPr>
        <w:t xml:space="preserve"> issuing the 2019 Scope, NICE performed an about-turn.  The FAD departs from both Scopes, by concentrating on one sub-group within the patient population.  NICE has not provided any evidence-based reasons for doing this.  It is difficult to see how any evidence-based reasons exist, given the Appraisal Committee has refused to consider the totality of the evidence, which must clearly be a pre-requisite to providing those reasons.  </w:t>
      </w:r>
    </w:p>
    <w:p w14:paraId="6129078C" w14:textId="77777777" w:rsidR="00975089" w:rsidRPr="00975089" w:rsidRDefault="00975089" w:rsidP="00975089">
      <w:pPr>
        <w:pStyle w:val="BodyText"/>
        <w:jc w:val="both"/>
        <w:rPr>
          <w:rFonts w:eastAsia="Calibri" w:cs="Times New Roman"/>
          <w:color w:val="595454" w:themeColor="text1"/>
          <w:sz w:val="20"/>
          <w:szCs w:val="20"/>
          <w:lang w:val="en-US"/>
        </w:rPr>
      </w:pPr>
      <w:r w:rsidRPr="00975089">
        <w:rPr>
          <w:rFonts w:eastAsia="Calibri" w:cs="Times New Roman"/>
          <w:color w:val="595454" w:themeColor="text1"/>
          <w:sz w:val="20"/>
          <w:szCs w:val="20"/>
          <w:lang w:val="en-US"/>
        </w:rPr>
        <w:t>The only conclusion to draw is that NICE has narrowed the 2019 Scope and done so unjustifiably.  NICE’s Appeal Panel has upheld previous appeals for precisely these reasons.  For example, the Appeal Panel has previously concluded:</w:t>
      </w:r>
    </w:p>
    <w:p w14:paraId="7E1373ED" w14:textId="77777777" w:rsidR="00975089" w:rsidRPr="00975089" w:rsidRDefault="00975089" w:rsidP="00975089">
      <w:pPr>
        <w:spacing w:after="240"/>
        <w:ind w:left="720"/>
        <w:jc w:val="both"/>
        <w:rPr>
          <w:rFonts w:eastAsia="Times New Roman" w:cs="Times New Roman"/>
          <w:i/>
          <w:iCs/>
          <w:szCs w:val="20"/>
        </w:rPr>
      </w:pPr>
      <w:r w:rsidRPr="00975089">
        <w:rPr>
          <w:rFonts w:eastAsia="Calibri" w:cs="Times New Roman"/>
          <w:szCs w:val="20"/>
        </w:rPr>
        <w:lastRenderedPageBreak/>
        <w:t>“</w:t>
      </w:r>
      <w:r w:rsidRPr="00975089">
        <w:rPr>
          <w:rFonts w:eastAsia="Times New Roman" w:cs="Times New Roman"/>
          <w:i/>
          <w:szCs w:val="20"/>
        </w:rPr>
        <w:t xml:space="preserve">In every appraisal, </w:t>
      </w:r>
      <w:r w:rsidRPr="00975089">
        <w:rPr>
          <w:rFonts w:eastAsia="Times New Roman" w:cs="Times New Roman"/>
          <w:b/>
          <w:i/>
          <w:szCs w:val="20"/>
        </w:rPr>
        <w:t>the starting point to define the question put to the Committee is the same: the scope</w:t>
      </w:r>
      <w:r w:rsidRPr="00975089">
        <w:rPr>
          <w:rFonts w:eastAsia="Times New Roman" w:cs="Times New Roman"/>
          <w:i/>
          <w:szCs w:val="20"/>
        </w:rPr>
        <w:t>….</w:t>
      </w:r>
      <w:r w:rsidRPr="00975089">
        <w:rPr>
          <w:rFonts w:eastAsia="Times New Roman" w:cs="Times New Roman"/>
          <w:b/>
          <w:i/>
          <w:szCs w:val="20"/>
        </w:rPr>
        <w:t xml:space="preserve"> Unless a scope specifies otherwise,</w:t>
      </w:r>
      <w:r w:rsidRPr="00975089">
        <w:rPr>
          <w:rFonts w:eastAsia="Times New Roman" w:cs="Times New Roman"/>
          <w:i/>
          <w:szCs w:val="20"/>
        </w:rPr>
        <w:t xml:space="preserve"> the Appeal Panel considers there is </w:t>
      </w:r>
      <w:r w:rsidRPr="00975089">
        <w:rPr>
          <w:rFonts w:eastAsia="Times New Roman" w:cs="Times New Roman"/>
          <w:b/>
          <w:i/>
          <w:szCs w:val="20"/>
        </w:rPr>
        <w:t>a soft presumption that the starting point for any Committee should be consideration of the whole patient group as one, with a view to making one recommendation for that group.</w:t>
      </w:r>
      <w:r w:rsidRPr="00975089">
        <w:rPr>
          <w:rFonts w:eastAsia="Times New Roman" w:cs="Times New Roman"/>
          <w:i/>
          <w:szCs w:val="20"/>
        </w:rPr>
        <w:t xml:space="preserve">  Where different recommendations are made for different groups of patients, the reason for departing from one recommendation should be</w:t>
      </w:r>
      <w:r w:rsidRPr="00975089">
        <w:rPr>
          <w:rFonts w:eastAsia="Times New Roman" w:cs="Times New Roman"/>
          <w:b/>
          <w:i/>
          <w:szCs w:val="20"/>
        </w:rPr>
        <w:t xml:space="preserve"> clear and adequate</w:t>
      </w:r>
      <w:r w:rsidRPr="00975089">
        <w:rPr>
          <w:rFonts w:eastAsia="Times New Roman" w:cs="Times New Roman"/>
          <w:szCs w:val="20"/>
        </w:rPr>
        <w:t>” (emphasis added).</w:t>
      </w:r>
      <w:r w:rsidRPr="00975089">
        <w:rPr>
          <w:rStyle w:val="FootnoteReference"/>
          <w:rFonts w:eastAsia="Times New Roman" w:cs="Times New Roman"/>
          <w:szCs w:val="20"/>
        </w:rPr>
        <w:footnoteReference w:id="6"/>
      </w:r>
    </w:p>
    <w:p w14:paraId="4B5344C8" w14:textId="39970F64" w:rsidR="00975089" w:rsidRPr="00975089" w:rsidRDefault="00975089" w:rsidP="00975089">
      <w:pPr>
        <w:jc w:val="both"/>
        <w:rPr>
          <w:rFonts w:eastAsia="Calibri" w:cs="Times New Roman"/>
          <w:szCs w:val="20"/>
        </w:rPr>
      </w:pPr>
      <w:r w:rsidRPr="00975089">
        <w:rPr>
          <w:rFonts w:eastAsia="Calibri" w:cs="Times New Roman"/>
          <w:szCs w:val="20"/>
        </w:rPr>
        <w:t xml:space="preserve">In this CDF </w:t>
      </w:r>
      <w:r w:rsidR="00516124">
        <w:rPr>
          <w:rFonts w:eastAsia="Calibri" w:cs="Times New Roman"/>
          <w:szCs w:val="20"/>
        </w:rPr>
        <w:t>review, the Appraisal Committee</w:t>
      </w:r>
      <w:r w:rsidRPr="00975089">
        <w:rPr>
          <w:rFonts w:eastAsia="Calibri" w:cs="Times New Roman"/>
          <w:szCs w:val="20"/>
        </w:rPr>
        <w:t xml:space="preserve"> has not considered the </w:t>
      </w:r>
      <w:proofErr w:type="gramStart"/>
      <w:r w:rsidRPr="00975089">
        <w:rPr>
          <w:rFonts w:eastAsia="Calibri" w:cs="Times New Roman"/>
          <w:szCs w:val="20"/>
        </w:rPr>
        <w:t>population as a whole, nor</w:t>
      </w:r>
      <w:proofErr w:type="gramEnd"/>
      <w:r w:rsidRPr="00975089">
        <w:rPr>
          <w:rFonts w:eastAsia="Calibri" w:cs="Times New Roman"/>
          <w:szCs w:val="20"/>
        </w:rPr>
        <w:t xml:space="preserve"> sought to make a holistic recommendation.  Its reasons for issuing a sub-group-focused recommendation are neither clear nor adequate.  The Committee has, in effect, pre-determined the sub-group for which it intends to recommend the product and refused to review any data that does not relate to that sub-group.</w:t>
      </w:r>
      <w:r w:rsidRPr="00975089">
        <w:rPr>
          <w:rStyle w:val="FootnoteReference"/>
          <w:rFonts w:eastAsia="Calibri" w:cs="Times New Roman"/>
          <w:szCs w:val="20"/>
        </w:rPr>
        <w:footnoteReference w:id="7"/>
      </w:r>
      <w:r w:rsidRPr="00975089">
        <w:rPr>
          <w:rFonts w:eastAsia="Calibri" w:cs="Times New Roman"/>
          <w:szCs w:val="20"/>
        </w:rPr>
        <w:t xml:space="preserve">  In these respects, the Committee has clearly breached the Methods Guide.  </w:t>
      </w:r>
    </w:p>
    <w:p w14:paraId="548285E5" w14:textId="77777777" w:rsidR="00975089" w:rsidRPr="00975089" w:rsidRDefault="00975089" w:rsidP="00975089">
      <w:pPr>
        <w:jc w:val="both"/>
        <w:rPr>
          <w:rFonts w:eastAsia="Calibri" w:cs="Times New Roman"/>
        </w:rPr>
      </w:pPr>
    </w:p>
    <w:p w14:paraId="2E5788D8" w14:textId="77777777" w:rsidR="00975089" w:rsidRPr="00975089" w:rsidRDefault="00975089" w:rsidP="00975089">
      <w:pPr>
        <w:pStyle w:val="BodyText"/>
        <w:jc w:val="both"/>
        <w:rPr>
          <w:rFonts w:eastAsia="Calibri" w:cs="Times New Roman"/>
          <w:color w:val="595454" w:themeColor="text1"/>
          <w:sz w:val="20"/>
          <w:szCs w:val="20"/>
          <w:lang w:val="en-US"/>
        </w:rPr>
      </w:pPr>
      <w:proofErr w:type="gramStart"/>
      <w:r w:rsidRPr="00975089">
        <w:rPr>
          <w:rFonts w:eastAsia="Calibri" w:cs="Times New Roman"/>
          <w:color w:val="595454" w:themeColor="text1"/>
          <w:sz w:val="20"/>
          <w:szCs w:val="20"/>
          <w:lang w:val="en-US"/>
        </w:rPr>
        <w:t>All of</w:t>
      </w:r>
      <w:proofErr w:type="gramEnd"/>
      <w:r w:rsidRPr="00975089">
        <w:rPr>
          <w:rFonts w:eastAsia="Calibri" w:cs="Times New Roman"/>
          <w:color w:val="595454" w:themeColor="text1"/>
          <w:sz w:val="20"/>
          <w:szCs w:val="20"/>
          <w:lang w:val="en-US"/>
        </w:rPr>
        <w:t xml:space="preserve"> the above is particularly surprising since the FAD acknowledges the principle that a CDF review should not differ from the original scope.  Section 3.2 of the FAD considers whether the fact that other potential comparators are now authorized and NICE-recommended could result in a different choice of comparator in the CDF review.  The answer was clear: “</w:t>
      </w:r>
      <w:r w:rsidRPr="00975089">
        <w:rPr>
          <w:rFonts w:eastAsia="Calibri" w:cs="Times New Roman"/>
          <w:i/>
          <w:color w:val="595454" w:themeColor="text1"/>
          <w:sz w:val="20"/>
          <w:szCs w:val="20"/>
          <w:lang w:val="en-US"/>
        </w:rPr>
        <w:t>In line with NICE’s methods guide for technology appraisals, the original scope was not changed for this CDF review</w:t>
      </w:r>
      <w:r w:rsidRPr="00975089">
        <w:rPr>
          <w:rFonts w:eastAsia="Calibri" w:cs="Times New Roman"/>
          <w:color w:val="595454" w:themeColor="text1"/>
          <w:sz w:val="20"/>
          <w:szCs w:val="20"/>
          <w:lang w:val="en-US"/>
        </w:rPr>
        <w:t>.”</w:t>
      </w:r>
    </w:p>
    <w:p w14:paraId="6F299A76" w14:textId="609AFDA6" w:rsidR="00975089" w:rsidRPr="00975089" w:rsidRDefault="00975089" w:rsidP="00975089">
      <w:pPr>
        <w:pStyle w:val="FootnoteText"/>
        <w:contextualSpacing/>
        <w:jc w:val="both"/>
        <w:rPr>
          <w:rFonts w:cs="Times New Roman"/>
          <w:color w:val="595454" w:themeColor="text1"/>
          <w:sz w:val="20"/>
        </w:rPr>
      </w:pPr>
      <w:r w:rsidRPr="00975089">
        <w:rPr>
          <w:rFonts w:eastAsia="Calibri" w:cs="Times New Roman"/>
          <w:color w:val="595454" w:themeColor="text1"/>
          <w:sz w:val="20"/>
          <w:lang w:val="en-US"/>
        </w:rPr>
        <w:t xml:space="preserve">In that light, the obvious departure from the 2019 Scope is difficult to comprehend.  One must question why the 2019 Scope was issued if NICE did not intend to adhere to it.  In discussions, NICE representatives have suggested to BMS that the 2019 Scope may have been issued in error.  In BMS’ view that is not a valid reason.  The Committee might also point to the Terms of </w:t>
      </w:r>
      <w:r w:rsidR="00516124">
        <w:rPr>
          <w:rFonts w:eastAsia="Calibri" w:cs="Times New Roman"/>
          <w:color w:val="595454" w:themeColor="text1"/>
          <w:sz w:val="20"/>
          <w:lang w:val="en-US"/>
        </w:rPr>
        <w:t>Engagement</w:t>
      </w:r>
      <w:r w:rsidRPr="00975089">
        <w:rPr>
          <w:rFonts w:eastAsia="Calibri" w:cs="Times New Roman"/>
          <w:color w:val="595454" w:themeColor="text1"/>
          <w:sz w:val="20"/>
          <w:lang w:val="en-US"/>
        </w:rPr>
        <w:t xml:space="preserve"> (also issued in 2019) to justify the approach it took.  However, it is incorrect to suggest that this document could or does amend or supersede the Scope.  </w:t>
      </w:r>
      <w:r w:rsidRPr="00975089">
        <w:rPr>
          <w:rFonts w:cs="Times New Roman"/>
          <w:color w:val="595454" w:themeColor="text1"/>
          <w:sz w:val="20"/>
        </w:rPr>
        <w:t xml:space="preserve">The 2019 Scope set out the formal parameters of the review, entitled BMS to submit the totality of the data it had collected from the </w:t>
      </w:r>
      <w:proofErr w:type="spellStart"/>
      <w:r w:rsidRPr="00975089">
        <w:rPr>
          <w:rFonts w:cs="Times New Roman"/>
          <w:color w:val="595454" w:themeColor="text1"/>
          <w:sz w:val="20"/>
        </w:rPr>
        <w:t>CheckMate</w:t>
      </w:r>
      <w:proofErr w:type="spellEnd"/>
      <w:r w:rsidRPr="00975089">
        <w:rPr>
          <w:rFonts w:cs="Times New Roman"/>
          <w:color w:val="595454" w:themeColor="text1"/>
          <w:sz w:val="20"/>
        </w:rPr>
        <w:t xml:space="preserve"> 057 and 017 studies and required the Committee to review those data as a whole and with an open mind.  The Terms of </w:t>
      </w:r>
      <w:r w:rsidR="00516124">
        <w:rPr>
          <w:rFonts w:cs="Times New Roman"/>
          <w:color w:val="595454" w:themeColor="text1"/>
          <w:sz w:val="20"/>
        </w:rPr>
        <w:t>Engagement</w:t>
      </w:r>
      <w:r w:rsidRPr="00975089">
        <w:rPr>
          <w:rFonts w:cs="Times New Roman"/>
          <w:color w:val="595454" w:themeColor="text1"/>
          <w:sz w:val="20"/>
        </w:rPr>
        <w:t xml:space="preserve"> did no more than to set out the Appraisal Committee’s preferred assumptions, </w:t>
      </w:r>
      <w:r w:rsidRPr="00975089">
        <w:rPr>
          <w:rFonts w:cs="Times New Roman"/>
          <w:i/>
          <w:color w:val="595454" w:themeColor="text1"/>
          <w:sz w:val="20"/>
        </w:rPr>
        <w:t>i.e.</w:t>
      </w:r>
      <w:r w:rsidRPr="00975089">
        <w:rPr>
          <w:rFonts w:cs="Times New Roman"/>
          <w:color w:val="595454" w:themeColor="text1"/>
          <w:sz w:val="20"/>
        </w:rPr>
        <w:t>, that it would prefer to focus on the PD-L1 positive sub-group; but that it was still obliged to review the totality of the data submitted (see below).</w:t>
      </w:r>
    </w:p>
    <w:p w14:paraId="2A179276" w14:textId="77777777" w:rsidR="00975089" w:rsidRPr="00975089" w:rsidRDefault="00975089" w:rsidP="00975089">
      <w:pPr>
        <w:pStyle w:val="FootnoteText"/>
        <w:contextualSpacing/>
        <w:jc w:val="both"/>
        <w:rPr>
          <w:rFonts w:cs="Times New Roman"/>
          <w:color w:val="595454" w:themeColor="text1"/>
        </w:rPr>
      </w:pPr>
    </w:p>
    <w:p w14:paraId="655A7A6D" w14:textId="77777777" w:rsidR="00975089" w:rsidRPr="00975089" w:rsidRDefault="00975089" w:rsidP="00975089">
      <w:pPr>
        <w:pStyle w:val="Heading3"/>
        <w:numPr>
          <w:ilvl w:val="2"/>
          <w:numId w:val="6"/>
        </w:numPr>
        <w:jc w:val="both"/>
        <w:rPr>
          <w:rFonts w:asciiTheme="minorHAnsi" w:hAnsiTheme="minorHAnsi" w:cs="Times New Roman"/>
          <w:b/>
          <w:color w:val="595454" w:themeColor="text1"/>
          <w:sz w:val="20"/>
          <w:szCs w:val="20"/>
        </w:rPr>
      </w:pPr>
      <w:r w:rsidRPr="00975089">
        <w:rPr>
          <w:rFonts w:asciiTheme="minorHAnsi" w:hAnsiTheme="minorHAnsi" w:cs="Times New Roman"/>
          <w:b/>
          <w:color w:val="595454" w:themeColor="text1"/>
          <w:sz w:val="20"/>
          <w:szCs w:val="20"/>
        </w:rPr>
        <w:t xml:space="preserve">Ground 1(a).2 — The premise that the 2017 CDF recommendation limits the scope of the 2019 CDF review has </w:t>
      </w:r>
      <w:r w:rsidRPr="00975089">
        <w:rPr>
          <w:rFonts w:asciiTheme="minorHAnsi" w:hAnsiTheme="minorHAnsi" w:cs="Times New Roman"/>
          <w:b/>
          <w:color w:val="595454" w:themeColor="text1"/>
          <w:sz w:val="20"/>
          <w:szCs w:val="20"/>
        </w:rPr>
        <w:lastRenderedPageBreak/>
        <w:t xml:space="preserve">no procedural basis, misinterprets the CDF process and falls short of BMS’ legitimate expectations </w:t>
      </w:r>
    </w:p>
    <w:p w14:paraId="5B17A553" w14:textId="77777777" w:rsidR="00975089" w:rsidRPr="00975089" w:rsidRDefault="00975089" w:rsidP="00975089">
      <w:pPr>
        <w:pStyle w:val="Heading4"/>
        <w:jc w:val="both"/>
        <w:rPr>
          <w:rFonts w:asciiTheme="minorHAnsi" w:hAnsiTheme="minorHAnsi" w:cs="Times New Roman"/>
          <w:color w:val="595454" w:themeColor="text1"/>
        </w:rPr>
      </w:pPr>
      <w:r w:rsidRPr="00975089">
        <w:rPr>
          <w:rFonts w:asciiTheme="minorHAnsi" w:hAnsiTheme="minorHAnsi" w:cs="Times New Roman"/>
          <w:b/>
          <w:color w:val="595454" w:themeColor="text1"/>
          <w:sz w:val="20"/>
          <w:szCs w:val="20"/>
          <w:lang w:val="en-US"/>
        </w:rPr>
        <w:t>The premise lacks a procedural basis</w:t>
      </w:r>
    </w:p>
    <w:p w14:paraId="352E596A" w14:textId="77777777" w:rsidR="00975089" w:rsidRPr="00975089" w:rsidRDefault="00975089" w:rsidP="00975089">
      <w:pPr>
        <w:pStyle w:val="BodyText"/>
        <w:jc w:val="both"/>
        <w:rPr>
          <w:rFonts w:cs="Times New Roman"/>
          <w:color w:val="595454" w:themeColor="text1"/>
          <w:sz w:val="20"/>
          <w:szCs w:val="20"/>
        </w:rPr>
      </w:pPr>
      <w:r w:rsidRPr="00975089">
        <w:rPr>
          <w:rFonts w:cs="Times New Roman"/>
          <w:color w:val="595454" w:themeColor="text1"/>
          <w:sz w:val="20"/>
          <w:szCs w:val="20"/>
        </w:rPr>
        <w:t>On 19 July 2019, NICE representatives wrote to BMS as follows:</w:t>
      </w:r>
    </w:p>
    <w:p w14:paraId="4E28FF70" w14:textId="77777777" w:rsidR="00975089" w:rsidRPr="00975089" w:rsidRDefault="00975089" w:rsidP="00975089">
      <w:pPr>
        <w:pStyle w:val="BodyText"/>
        <w:ind w:left="720"/>
        <w:jc w:val="both"/>
        <w:rPr>
          <w:rFonts w:cs="Times New Roman"/>
          <w:color w:val="595454" w:themeColor="text1"/>
          <w:sz w:val="20"/>
          <w:szCs w:val="20"/>
        </w:rPr>
      </w:pPr>
      <w:r w:rsidRPr="00975089">
        <w:rPr>
          <w:rFonts w:cs="Times New Roman"/>
          <w:color w:val="595454" w:themeColor="text1"/>
          <w:sz w:val="20"/>
          <w:szCs w:val="20"/>
        </w:rPr>
        <w:t>“</w:t>
      </w:r>
      <w:r w:rsidRPr="00975089">
        <w:rPr>
          <w:rFonts w:cs="Times New Roman"/>
          <w:i/>
          <w:color w:val="595454" w:themeColor="text1"/>
          <w:sz w:val="20"/>
          <w:szCs w:val="20"/>
        </w:rPr>
        <w:t xml:space="preserve">We have been able to clarify that the CDF guidance review (para 6.19 – 6.27 of the Guide to the process of technology appraisal) should be understood as </w:t>
      </w:r>
      <w:r w:rsidRPr="00975089">
        <w:rPr>
          <w:rFonts w:cs="Times New Roman"/>
          <w:b/>
          <w:i/>
          <w:color w:val="595454" w:themeColor="text1"/>
          <w:sz w:val="20"/>
          <w:szCs w:val="20"/>
        </w:rPr>
        <w:t>following the original recommendation</w:t>
      </w:r>
      <w:r w:rsidRPr="00975089">
        <w:rPr>
          <w:rFonts w:cs="Times New Roman"/>
          <w:i/>
          <w:color w:val="595454" w:themeColor="text1"/>
          <w:sz w:val="20"/>
          <w:szCs w:val="20"/>
        </w:rPr>
        <w:t xml:space="preserve"> for the CDF and the terms of the managed access agreement.</w:t>
      </w:r>
      <w:r w:rsidRPr="00975089">
        <w:rPr>
          <w:rFonts w:cs="Times New Roman"/>
          <w:color w:val="595454" w:themeColor="text1"/>
          <w:sz w:val="20"/>
          <w:szCs w:val="20"/>
        </w:rPr>
        <w:t>”</w:t>
      </w:r>
      <w:r w:rsidRPr="00975089">
        <w:rPr>
          <w:rStyle w:val="FootnoteReference"/>
          <w:rFonts w:cs="Times New Roman"/>
          <w:color w:val="595454" w:themeColor="text1"/>
          <w:sz w:val="20"/>
          <w:szCs w:val="20"/>
        </w:rPr>
        <w:footnoteReference w:id="8"/>
      </w:r>
      <w:r w:rsidRPr="00975089">
        <w:rPr>
          <w:rFonts w:cs="Times New Roman"/>
          <w:color w:val="595454" w:themeColor="text1"/>
          <w:sz w:val="20"/>
          <w:szCs w:val="20"/>
        </w:rPr>
        <w:t xml:space="preserve"> (emphasis added)</w:t>
      </w:r>
    </w:p>
    <w:p w14:paraId="15DC53EA" w14:textId="77777777" w:rsidR="00975089" w:rsidRPr="00975089" w:rsidRDefault="00975089" w:rsidP="00975089">
      <w:pPr>
        <w:pStyle w:val="BodyText"/>
        <w:jc w:val="both"/>
        <w:rPr>
          <w:rFonts w:cs="Times New Roman"/>
          <w:color w:val="595454" w:themeColor="text1"/>
          <w:sz w:val="20"/>
          <w:szCs w:val="20"/>
        </w:rPr>
      </w:pPr>
      <w:r w:rsidRPr="00975089">
        <w:rPr>
          <w:rFonts w:cs="Times New Roman"/>
          <w:color w:val="595454" w:themeColor="text1"/>
          <w:sz w:val="20"/>
          <w:szCs w:val="20"/>
        </w:rPr>
        <w:t>Furthermore:  “</w:t>
      </w:r>
      <w:r w:rsidRPr="00975089">
        <w:rPr>
          <w:rFonts w:cs="Times New Roman"/>
          <w:i/>
          <w:color w:val="595454" w:themeColor="text1"/>
          <w:sz w:val="20"/>
          <w:szCs w:val="20"/>
        </w:rPr>
        <w:t xml:space="preserve">your evidence submission for a CDF guidance review should provide the committee the additional data requested in the MAA, which relates to their </w:t>
      </w:r>
      <w:r w:rsidRPr="00975089">
        <w:rPr>
          <w:rFonts w:cs="Times New Roman"/>
          <w:color w:val="595454" w:themeColor="text1"/>
          <w:sz w:val="20"/>
          <w:szCs w:val="20"/>
        </w:rPr>
        <w:t>[original CDF]</w:t>
      </w:r>
      <w:r w:rsidRPr="00975089">
        <w:rPr>
          <w:rFonts w:cs="Times New Roman"/>
          <w:i/>
          <w:color w:val="595454" w:themeColor="text1"/>
          <w:sz w:val="20"/>
          <w:szCs w:val="20"/>
        </w:rPr>
        <w:t xml:space="preserve"> recommendation…</w:t>
      </w:r>
      <w:r w:rsidRPr="00975089">
        <w:rPr>
          <w:rFonts w:cs="Times New Roman"/>
          <w:color w:val="595454" w:themeColor="text1"/>
          <w:sz w:val="20"/>
          <w:szCs w:val="20"/>
        </w:rPr>
        <w:t>[</w:t>
      </w:r>
      <w:r w:rsidRPr="00975089">
        <w:rPr>
          <w:rFonts w:cs="Times New Roman"/>
          <w:i/>
          <w:color w:val="595454" w:themeColor="text1"/>
          <w:sz w:val="20"/>
          <w:szCs w:val="20"/>
        </w:rPr>
        <w:t>i.e.</w:t>
      </w:r>
      <w:r w:rsidRPr="00975089">
        <w:rPr>
          <w:rFonts w:cs="Times New Roman"/>
          <w:color w:val="595454" w:themeColor="text1"/>
          <w:sz w:val="20"/>
          <w:szCs w:val="20"/>
        </w:rPr>
        <w:t>, data relating]</w:t>
      </w:r>
      <w:r w:rsidRPr="00975089">
        <w:rPr>
          <w:rFonts w:cs="Times New Roman"/>
          <w:i/>
          <w:color w:val="595454" w:themeColor="text1"/>
          <w:sz w:val="20"/>
          <w:szCs w:val="20"/>
        </w:rPr>
        <w:t xml:space="preserve"> </w:t>
      </w:r>
      <w:r w:rsidRPr="00975089">
        <w:rPr>
          <w:rFonts w:cs="Times New Roman"/>
          <w:b/>
          <w:i/>
          <w:color w:val="595454" w:themeColor="text1"/>
          <w:sz w:val="20"/>
          <w:szCs w:val="20"/>
        </w:rPr>
        <w:t xml:space="preserve">only </w:t>
      </w:r>
      <w:r w:rsidRPr="00975089">
        <w:rPr>
          <w:rFonts w:cs="Times New Roman"/>
          <w:b/>
          <w:color w:val="595454" w:themeColor="text1"/>
          <w:sz w:val="20"/>
          <w:szCs w:val="20"/>
        </w:rPr>
        <w:t xml:space="preserve">[to] </w:t>
      </w:r>
      <w:r w:rsidRPr="00975089">
        <w:rPr>
          <w:rFonts w:cs="Times New Roman"/>
          <w:b/>
          <w:i/>
          <w:color w:val="595454" w:themeColor="text1"/>
          <w:sz w:val="20"/>
          <w:szCs w:val="20"/>
        </w:rPr>
        <w:t>PD-L1 positive patients</w:t>
      </w:r>
      <w:r w:rsidRPr="00975089">
        <w:rPr>
          <w:rFonts w:cs="Times New Roman"/>
          <w:i/>
          <w:color w:val="595454" w:themeColor="text1"/>
          <w:sz w:val="20"/>
          <w:szCs w:val="20"/>
        </w:rPr>
        <w:t>.</w:t>
      </w:r>
      <w:r w:rsidRPr="00975089">
        <w:rPr>
          <w:rFonts w:cs="Times New Roman"/>
          <w:color w:val="595454" w:themeColor="text1"/>
          <w:sz w:val="20"/>
          <w:szCs w:val="20"/>
        </w:rPr>
        <w:t>” (emphasis added)</w:t>
      </w:r>
    </w:p>
    <w:p w14:paraId="408C04E2" w14:textId="48A85270" w:rsidR="00975089" w:rsidRPr="00975089" w:rsidRDefault="00975089" w:rsidP="00975089">
      <w:pPr>
        <w:pStyle w:val="BodyText"/>
        <w:jc w:val="both"/>
        <w:rPr>
          <w:rFonts w:cs="Times New Roman"/>
          <w:color w:val="595454" w:themeColor="text1"/>
          <w:sz w:val="20"/>
          <w:szCs w:val="20"/>
        </w:rPr>
      </w:pPr>
      <w:r w:rsidRPr="00975089">
        <w:rPr>
          <w:rFonts w:cs="Times New Roman"/>
          <w:color w:val="595454" w:themeColor="text1"/>
          <w:sz w:val="20"/>
          <w:szCs w:val="20"/>
        </w:rPr>
        <w:t xml:space="preserve">That is not what the Methods Guide says.  At no point do Sections 6.19 – 6.27 (which govern the CDF process) say or even suggest that a CDF recommendation narrows the parameters of the reassessment on exiting the CDF.  We cannot see any basis for NICE’s assertions in this regard, </w:t>
      </w:r>
      <w:r w:rsidR="008F6EC7">
        <w:rPr>
          <w:rFonts w:cs="Times New Roman"/>
          <w:color w:val="595454" w:themeColor="text1"/>
          <w:sz w:val="20"/>
          <w:szCs w:val="20"/>
        </w:rPr>
        <w:t>nor</w:t>
      </w:r>
      <w:r w:rsidRPr="00975089">
        <w:rPr>
          <w:rFonts w:cs="Times New Roman"/>
          <w:color w:val="595454" w:themeColor="text1"/>
          <w:sz w:val="20"/>
          <w:szCs w:val="20"/>
        </w:rPr>
        <w:t xml:space="preserve"> any basis for disregarding the 2019 Scope.</w:t>
      </w:r>
    </w:p>
    <w:p w14:paraId="56A439E0" w14:textId="6BFA4F77" w:rsidR="00975089" w:rsidRPr="00975089" w:rsidRDefault="00975089" w:rsidP="00975089">
      <w:pPr>
        <w:pStyle w:val="BodyText"/>
        <w:jc w:val="both"/>
        <w:rPr>
          <w:rFonts w:cs="Times New Roman"/>
          <w:iCs/>
          <w:color w:val="595454" w:themeColor="text1"/>
          <w:sz w:val="20"/>
          <w:szCs w:val="20"/>
          <w:lang w:val="en-US"/>
        </w:rPr>
      </w:pPr>
      <w:r w:rsidRPr="00975089">
        <w:rPr>
          <w:rFonts w:cs="Times New Roman"/>
          <w:color w:val="595454" w:themeColor="text1"/>
          <w:sz w:val="20"/>
          <w:szCs w:val="20"/>
        </w:rPr>
        <w:t>It is unclear how, and with whom, NICE was able to “clarify” its position; or why this was necessary.  T</w:t>
      </w:r>
      <w:r w:rsidRPr="00975089">
        <w:rPr>
          <w:rFonts w:cs="Times New Roman"/>
          <w:color w:val="595454" w:themeColor="text1"/>
          <w:sz w:val="20"/>
          <w:szCs w:val="20"/>
          <w:lang w:val="en-US"/>
        </w:rPr>
        <w:t>he Methods Guide is unambiguous.  Section 6.25 states that a “</w:t>
      </w:r>
      <w:r w:rsidRPr="00975089">
        <w:rPr>
          <w:rFonts w:cs="Times New Roman"/>
          <w:i/>
          <w:iCs/>
          <w:color w:val="595454" w:themeColor="text1"/>
          <w:sz w:val="20"/>
          <w:szCs w:val="20"/>
          <w:lang w:val="en-US"/>
        </w:rPr>
        <w:t xml:space="preserve">Cancer Drugs Fund guidance review </w:t>
      </w:r>
      <w:r w:rsidRPr="00975089">
        <w:rPr>
          <w:rFonts w:cs="Times New Roman"/>
          <w:b/>
          <w:i/>
          <w:iCs/>
          <w:color w:val="595454" w:themeColor="text1"/>
          <w:sz w:val="20"/>
          <w:szCs w:val="20"/>
          <w:lang w:val="en-US"/>
        </w:rPr>
        <w:t xml:space="preserve">will </w:t>
      </w:r>
      <w:proofErr w:type="gramStart"/>
      <w:r w:rsidRPr="00975089">
        <w:rPr>
          <w:rFonts w:cs="Times New Roman"/>
          <w:b/>
          <w:i/>
          <w:iCs/>
          <w:color w:val="595454" w:themeColor="text1"/>
          <w:sz w:val="20"/>
          <w:szCs w:val="20"/>
          <w:lang w:val="en-US"/>
        </w:rPr>
        <w:t>take into account</w:t>
      </w:r>
      <w:proofErr w:type="gramEnd"/>
      <w:r w:rsidRPr="00975089">
        <w:rPr>
          <w:rFonts w:cs="Times New Roman"/>
          <w:b/>
          <w:i/>
          <w:iCs/>
          <w:color w:val="595454" w:themeColor="text1"/>
          <w:sz w:val="20"/>
          <w:szCs w:val="20"/>
          <w:lang w:val="en-US"/>
        </w:rPr>
        <w:t xml:space="preserve"> the data that have become available since the original appraisal... </w:t>
      </w:r>
      <w:r w:rsidRPr="00975089">
        <w:rPr>
          <w:rFonts w:cs="Times New Roman"/>
          <w:b/>
          <w:bCs/>
          <w:i/>
          <w:iCs/>
          <w:color w:val="595454" w:themeColor="text1"/>
          <w:sz w:val="20"/>
          <w:szCs w:val="20"/>
          <w:lang w:val="en-US"/>
        </w:rPr>
        <w:t xml:space="preserve">No changes to the scope </w:t>
      </w:r>
      <w:r w:rsidRPr="00975089">
        <w:rPr>
          <w:rFonts w:cs="Times New Roman"/>
          <w:b/>
          <w:i/>
          <w:iCs/>
          <w:color w:val="595454" w:themeColor="text1"/>
          <w:sz w:val="20"/>
          <w:szCs w:val="20"/>
          <w:lang w:val="en-US"/>
        </w:rPr>
        <w:t>of the appraisal will be considered.</w:t>
      </w:r>
      <w:r w:rsidRPr="00975089">
        <w:rPr>
          <w:rFonts w:cs="Times New Roman"/>
          <w:i/>
          <w:iCs/>
          <w:color w:val="595454" w:themeColor="text1"/>
          <w:sz w:val="20"/>
          <w:szCs w:val="20"/>
          <w:lang w:val="en-US"/>
        </w:rPr>
        <w:t>”</w:t>
      </w:r>
      <w:r w:rsidRPr="00975089">
        <w:rPr>
          <w:rFonts w:cs="Times New Roman"/>
          <w:color w:val="595454" w:themeColor="text1"/>
          <w:sz w:val="20"/>
          <w:szCs w:val="20"/>
          <w:lang w:val="en-US"/>
        </w:rPr>
        <w:t xml:space="preserve">  According to the Methods Guide, the </w:t>
      </w:r>
      <w:r w:rsidRPr="00975089">
        <w:rPr>
          <w:rFonts w:cs="Times New Roman"/>
          <w:iCs/>
          <w:color w:val="595454" w:themeColor="text1"/>
          <w:sz w:val="20"/>
          <w:szCs w:val="20"/>
          <w:lang w:val="en-US"/>
        </w:rPr>
        <w:t>2015 and 2019 Scopes are unaltered by the CDF recommendation and must be respected.  The Committee is unable to reject in-scope evidence.</w:t>
      </w:r>
    </w:p>
    <w:p w14:paraId="754D362A" w14:textId="77777777" w:rsidR="00975089" w:rsidRPr="00975089" w:rsidRDefault="00975089" w:rsidP="00975089">
      <w:pPr>
        <w:pStyle w:val="BodyText"/>
        <w:jc w:val="both"/>
        <w:rPr>
          <w:rFonts w:cs="Times New Roman"/>
          <w:iCs/>
          <w:color w:val="595454" w:themeColor="text1"/>
          <w:sz w:val="20"/>
          <w:szCs w:val="20"/>
          <w:lang w:val="en-US"/>
        </w:rPr>
      </w:pPr>
      <w:r w:rsidRPr="00975089">
        <w:rPr>
          <w:rFonts w:cs="Times New Roman"/>
          <w:iCs/>
          <w:color w:val="595454" w:themeColor="text1"/>
          <w:sz w:val="20"/>
          <w:szCs w:val="20"/>
          <w:lang w:val="en-US"/>
        </w:rPr>
        <w:t xml:space="preserve">It appears that NICE has developed its position internally and reactively, as the CDF review has progressed.  Such an approach lacks transparency and is procedurally unfair.  </w:t>
      </w:r>
    </w:p>
    <w:p w14:paraId="2E23E9C3" w14:textId="77777777" w:rsidR="00975089" w:rsidRPr="00975089" w:rsidRDefault="00975089" w:rsidP="00975089">
      <w:pPr>
        <w:pStyle w:val="Heading4"/>
        <w:jc w:val="both"/>
        <w:rPr>
          <w:rFonts w:asciiTheme="minorHAnsi" w:hAnsiTheme="minorHAnsi" w:cs="Times New Roman"/>
          <w:b/>
          <w:color w:val="595454" w:themeColor="text1"/>
          <w:sz w:val="20"/>
          <w:szCs w:val="20"/>
          <w:lang w:val="en-US"/>
        </w:rPr>
      </w:pPr>
      <w:r w:rsidRPr="00975089">
        <w:rPr>
          <w:rFonts w:asciiTheme="minorHAnsi" w:hAnsiTheme="minorHAnsi" w:cs="Times New Roman"/>
          <w:b/>
          <w:color w:val="595454" w:themeColor="text1"/>
          <w:sz w:val="20"/>
          <w:szCs w:val="20"/>
          <w:lang w:val="en-US"/>
        </w:rPr>
        <w:t>The Appraisal Committee has misinterpreted the effect of the CDF recommendation in the technology appraisal process</w:t>
      </w:r>
    </w:p>
    <w:p w14:paraId="32CBA519" w14:textId="77777777" w:rsidR="00975089" w:rsidRPr="00975089" w:rsidRDefault="00975089" w:rsidP="00975089">
      <w:pPr>
        <w:pStyle w:val="BodyText"/>
        <w:jc w:val="both"/>
        <w:rPr>
          <w:rFonts w:cs="Times New Roman"/>
          <w:iCs/>
          <w:color w:val="595454" w:themeColor="text1"/>
          <w:sz w:val="20"/>
          <w:szCs w:val="20"/>
          <w:lang w:val="en-US"/>
        </w:rPr>
      </w:pPr>
      <w:r w:rsidRPr="00975089">
        <w:rPr>
          <w:rFonts w:cs="Times New Roman"/>
          <w:color w:val="595454" w:themeColor="text1"/>
          <w:sz w:val="20"/>
          <w:szCs w:val="20"/>
        </w:rPr>
        <w:t xml:space="preserve">ID1572 is not a standalone or new STA; it follows from TA484 and represents the logical </w:t>
      </w:r>
      <w:proofErr w:type="gramStart"/>
      <w:r w:rsidRPr="00975089">
        <w:rPr>
          <w:rFonts w:cs="Times New Roman"/>
          <w:color w:val="595454" w:themeColor="text1"/>
          <w:sz w:val="20"/>
          <w:szCs w:val="20"/>
        </w:rPr>
        <w:t>end-point</w:t>
      </w:r>
      <w:proofErr w:type="gramEnd"/>
      <w:r w:rsidRPr="00975089">
        <w:rPr>
          <w:rFonts w:cs="Times New Roman"/>
          <w:color w:val="595454" w:themeColor="text1"/>
          <w:sz w:val="20"/>
          <w:szCs w:val="20"/>
        </w:rPr>
        <w:t xml:space="preserve"> of the original appraisal.  TA484 sought to ascertain whether nivolumab was suitable for routine commissioning in the whole NSQ NSCLC population.  The purpose of the CDF is to provide access to a product while the manufacturer generates and submits the data necessary to complete the appraisal.  A CDF recommendation is, in that respect, a statement as to how the technology will be available during that interim period.  It does not pre-determine the outcome of that review or set limits on the data that NICE may consider going forwards.</w:t>
      </w:r>
    </w:p>
    <w:p w14:paraId="49897FF5" w14:textId="77777777" w:rsidR="00975089" w:rsidRPr="00975089" w:rsidRDefault="00975089" w:rsidP="00975089">
      <w:pPr>
        <w:pStyle w:val="BodyText"/>
        <w:jc w:val="both"/>
        <w:rPr>
          <w:rFonts w:cs="Times New Roman"/>
          <w:iCs/>
          <w:color w:val="595454" w:themeColor="text1"/>
          <w:sz w:val="20"/>
          <w:szCs w:val="20"/>
        </w:rPr>
      </w:pPr>
      <w:r w:rsidRPr="00975089">
        <w:rPr>
          <w:rFonts w:cs="Times New Roman"/>
          <w:iCs/>
          <w:color w:val="595454" w:themeColor="text1"/>
          <w:sz w:val="20"/>
          <w:szCs w:val="20"/>
          <w:lang w:val="en-US"/>
        </w:rPr>
        <w:t>NHS England’s SOP for the CDF</w:t>
      </w:r>
      <w:r w:rsidRPr="00975089">
        <w:rPr>
          <w:rFonts w:cs="Times New Roman"/>
          <w:iCs/>
          <w:color w:val="595454" w:themeColor="text1"/>
          <w:sz w:val="20"/>
          <w:szCs w:val="20"/>
        </w:rPr>
        <w:t xml:space="preserve"> says a CDF recommendation is appropriate when “[there is] </w:t>
      </w:r>
      <w:r w:rsidRPr="00975089">
        <w:rPr>
          <w:rFonts w:cs="Times New Roman"/>
          <w:i/>
          <w:iCs/>
          <w:color w:val="595454" w:themeColor="text1"/>
          <w:sz w:val="20"/>
          <w:szCs w:val="20"/>
        </w:rPr>
        <w:t xml:space="preserve">plausible potential for a drug to satisfy the criteria for routine commissioning, but where there is currently too much uncertainty surrounding the clinical data and </w:t>
      </w:r>
      <w:r w:rsidRPr="00975089">
        <w:rPr>
          <w:rFonts w:cs="Times New Roman"/>
          <w:i/>
          <w:iCs/>
          <w:color w:val="595454" w:themeColor="text1"/>
          <w:sz w:val="20"/>
          <w:szCs w:val="20"/>
        </w:rPr>
        <w:lastRenderedPageBreak/>
        <w:t>consequently the cost effectiveness estimates to make such a recommendation</w:t>
      </w:r>
      <w:r w:rsidRPr="00975089">
        <w:rPr>
          <w:rFonts w:cs="Times New Roman"/>
          <w:iCs/>
          <w:color w:val="595454" w:themeColor="text1"/>
          <w:sz w:val="20"/>
          <w:szCs w:val="20"/>
        </w:rPr>
        <w:t>”</w:t>
      </w:r>
      <w:r w:rsidRPr="00975089">
        <w:rPr>
          <w:rStyle w:val="FootnoteReference"/>
          <w:rFonts w:cs="Times New Roman"/>
          <w:iCs/>
          <w:color w:val="595454" w:themeColor="text1"/>
          <w:sz w:val="20"/>
          <w:szCs w:val="20"/>
        </w:rPr>
        <w:footnoteReference w:id="9"/>
      </w:r>
      <w:r w:rsidRPr="00975089">
        <w:rPr>
          <w:rFonts w:cs="Times New Roman"/>
          <w:iCs/>
          <w:color w:val="595454" w:themeColor="text1"/>
          <w:sz w:val="20"/>
          <w:szCs w:val="20"/>
        </w:rPr>
        <w:t xml:space="preserve">  By its very nature, a CDF recommendation is a non-determinative statement based on the plausible potential of a product to be cost effective.  It is subject to various unknowns that are yet to be resolved (which in this case include efficacy across different levels of PD-L1 expression).  </w:t>
      </w:r>
    </w:p>
    <w:p w14:paraId="3AFEA59B" w14:textId="77777777" w:rsidR="00975089" w:rsidRPr="00975089" w:rsidRDefault="00975089" w:rsidP="00975089">
      <w:pPr>
        <w:pStyle w:val="BodyText"/>
        <w:jc w:val="both"/>
        <w:rPr>
          <w:rFonts w:cs="Times New Roman"/>
          <w:color w:val="595454" w:themeColor="text1"/>
          <w:sz w:val="20"/>
          <w:szCs w:val="20"/>
        </w:rPr>
      </w:pPr>
      <w:r w:rsidRPr="00975089">
        <w:rPr>
          <w:rFonts w:cs="Times New Roman"/>
          <w:iCs/>
          <w:color w:val="595454" w:themeColor="text1"/>
          <w:sz w:val="20"/>
          <w:szCs w:val="20"/>
        </w:rPr>
        <w:t>The CDF SOP continues: “</w:t>
      </w:r>
      <w:r w:rsidRPr="00975089">
        <w:rPr>
          <w:rFonts w:cs="Times New Roman"/>
          <w:i/>
          <w:iCs/>
          <w:color w:val="595454" w:themeColor="text1"/>
          <w:sz w:val="20"/>
          <w:szCs w:val="20"/>
        </w:rPr>
        <w:t xml:space="preserve">NICE will schedule the re-appraisal of the drug and </w:t>
      </w:r>
      <w:r w:rsidRPr="00975089">
        <w:rPr>
          <w:rFonts w:cs="Times New Roman"/>
          <w:b/>
          <w:i/>
          <w:iCs/>
          <w:color w:val="595454" w:themeColor="text1"/>
          <w:sz w:val="20"/>
          <w:szCs w:val="20"/>
        </w:rPr>
        <w:t>this will take account of data available since the original appraisal</w:t>
      </w:r>
      <w:r w:rsidRPr="00975089">
        <w:rPr>
          <w:rFonts w:cs="Times New Roman"/>
          <w:iCs/>
          <w:color w:val="595454" w:themeColor="text1"/>
          <w:sz w:val="20"/>
          <w:szCs w:val="20"/>
        </w:rPr>
        <w:t>” (emphasis added).</w:t>
      </w:r>
      <w:r w:rsidRPr="00975089">
        <w:rPr>
          <w:rStyle w:val="FootnoteReference"/>
          <w:rFonts w:cs="Times New Roman"/>
          <w:iCs/>
          <w:color w:val="595454" w:themeColor="text1"/>
          <w:sz w:val="20"/>
          <w:szCs w:val="20"/>
        </w:rPr>
        <w:footnoteReference w:id="10"/>
      </w:r>
      <w:r w:rsidRPr="00975089">
        <w:rPr>
          <w:rFonts w:cs="Times New Roman"/>
          <w:iCs/>
          <w:color w:val="595454" w:themeColor="text1"/>
          <w:sz w:val="20"/>
          <w:szCs w:val="20"/>
        </w:rPr>
        <w:t xml:space="preserve">  That is an unqualified statement (it does not, for example, say “</w:t>
      </w:r>
      <w:r w:rsidRPr="00975089">
        <w:rPr>
          <w:rFonts w:cs="Times New Roman"/>
          <w:i/>
          <w:iCs/>
          <w:color w:val="595454" w:themeColor="text1"/>
          <w:sz w:val="20"/>
          <w:szCs w:val="20"/>
        </w:rPr>
        <w:t>NICE…will take account of those data available that align with the original appraisal”</w:t>
      </w:r>
      <w:r w:rsidRPr="00975089">
        <w:rPr>
          <w:rFonts w:cs="Times New Roman"/>
          <w:iCs/>
          <w:color w:val="595454" w:themeColor="text1"/>
          <w:sz w:val="20"/>
          <w:szCs w:val="20"/>
        </w:rPr>
        <w:t xml:space="preserve">).  The Committee has failed to </w:t>
      </w:r>
      <w:proofErr w:type="gramStart"/>
      <w:r w:rsidRPr="00975089">
        <w:rPr>
          <w:rFonts w:cs="Times New Roman"/>
          <w:iCs/>
          <w:color w:val="595454" w:themeColor="text1"/>
          <w:sz w:val="20"/>
          <w:szCs w:val="20"/>
        </w:rPr>
        <w:t>take into account</w:t>
      </w:r>
      <w:proofErr w:type="gramEnd"/>
      <w:r w:rsidRPr="00975089">
        <w:rPr>
          <w:rFonts w:cs="Times New Roman"/>
          <w:iCs/>
          <w:color w:val="595454" w:themeColor="text1"/>
          <w:sz w:val="20"/>
          <w:szCs w:val="20"/>
        </w:rPr>
        <w:t xml:space="preserve"> of the SOP and misinterpreted what the CDF is there to achieve.</w:t>
      </w:r>
    </w:p>
    <w:p w14:paraId="56240FB6" w14:textId="77777777" w:rsidR="00975089" w:rsidRPr="00975089" w:rsidRDefault="00975089" w:rsidP="00975089">
      <w:pPr>
        <w:pStyle w:val="Heading4"/>
        <w:jc w:val="both"/>
        <w:rPr>
          <w:rFonts w:asciiTheme="minorHAnsi" w:hAnsiTheme="minorHAnsi" w:cs="Times New Roman"/>
          <w:color w:val="595454" w:themeColor="text1"/>
          <w:sz w:val="20"/>
          <w:szCs w:val="20"/>
          <w:lang w:val="en-US"/>
        </w:rPr>
      </w:pPr>
      <w:r w:rsidRPr="00975089">
        <w:rPr>
          <w:rFonts w:asciiTheme="minorHAnsi" w:hAnsiTheme="minorHAnsi" w:cs="Times New Roman"/>
          <w:b/>
          <w:color w:val="595454" w:themeColor="text1"/>
          <w:sz w:val="20"/>
          <w:szCs w:val="20"/>
          <w:lang w:val="en-US"/>
        </w:rPr>
        <w:t>BMS had a legitimate expectation that the CDF review would consider data for the whole patient population</w:t>
      </w:r>
    </w:p>
    <w:p w14:paraId="407BA23E" w14:textId="77777777" w:rsidR="00975089" w:rsidRPr="00975089" w:rsidRDefault="00975089" w:rsidP="00975089">
      <w:pPr>
        <w:pStyle w:val="BodyText"/>
        <w:jc w:val="both"/>
        <w:rPr>
          <w:rFonts w:cs="Times New Roman"/>
          <w:color w:val="595454" w:themeColor="text1"/>
          <w:sz w:val="20"/>
          <w:szCs w:val="20"/>
          <w:lang w:val="en-US"/>
        </w:rPr>
      </w:pPr>
      <w:r w:rsidRPr="00975089">
        <w:rPr>
          <w:rFonts w:cs="Times New Roman"/>
          <w:color w:val="595454" w:themeColor="text1"/>
          <w:sz w:val="20"/>
          <w:szCs w:val="20"/>
          <w:lang w:val="en-US"/>
        </w:rPr>
        <w:t xml:space="preserve">BMS submitted updated clinical data to NICE relating to the whole patient population in good </w:t>
      </w:r>
      <w:proofErr w:type="gramStart"/>
      <w:r w:rsidRPr="00975089">
        <w:rPr>
          <w:rFonts w:cs="Times New Roman"/>
          <w:color w:val="595454" w:themeColor="text1"/>
          <w:sz w:val="20"/>
          <w:szCs w:val="20"/>
          <w:lang w:val="en-US"/>
        </w:rPr>
        <w:t>faith, and</w:t>
      </w:r>
      <w:proofErr w:type="gramEnd"/>
      <w:r w:rsidRPr="00975089">
        <w:rPr>
          <w:rFonts w:cs="Times New Roman"/>
          <w:color w:val="595454" w:themeColor="text1"/>
          <w:sz w:val="20"/>
          <w:szCs w:val="20"/>
          <w:lang w:val="en-US"/>
        </w:rPr>
        <w:t xml:space="preserve"> had every right to expect the Appraisal Committee to consider those submissions in full.  The legitimate expectation arises because (amongst other things):</w:t>
      </w:r>
    </w:p>
    <w:p w14:paraId="620BF84B" w14:textId="77777777" w:rsidR="00975089" w:rsidRPr="00975089" w:rsidRDefault="00975089" w:rsidP="00975089">
      <w:pPr>
        <w:pStyle w:val="BodyText"/>
        <w:numPr>
          <w:ilvl w:val="0"/>
          <w:numId w:val="18"/>
        </w:numPr>
        <w:jc w:val="both"/>
        <w:rPr>
          <w:rFonts w:cs="Times New Roman"/>
          <w:color w:val="595454" w:themeColor="text1"/>
          <w:sz w:val="20"/>
          <w:szCs w:val="20"/>
          <w:lang w:val="en-US"/>
        </w:rPr>
      </w:pPr>
      <w:r w:rsidRPr="00975089">
        <w:rPr>
          <w:rFonts w:cs="Times New Roman"/>
          <w:color w:val="595454" w:themeColor="text1"/>
          <w:sz w:val="20"/>
          <w:szCs w:val="20"/>
          <w:lang w:val="en-US"/>
        </w:rPr>
        <w:t>The 2015 and 2019 Scopes require BMS to submit evidence for the whole population, and for NICE to assess it.</w:t>
      </w:r>
    </w:p>
    <w:p w14:paraId="004131F0" w14:textId="77777777" w:rsidR="00975089" w:rsidRPr="00975089" w:rsidRDefault="00975089" w:rsidP="00975089">
      <w:pPr>
        <w:pStyle w:val="BodyText"/>
        <w:numPr>
          <w:ilvl w:val="0"/>
          <w:numId w:val="18"/>
        </w:numPr>
        <w:jc w:val="both"/>
        <w:rPr>
          <w:rFonts w:cs="Times New Roman"/>
          <w:color w:val="595454" w:themeColor="text1"/>
          <w:sz w:val="20"/>
          <w:szCs w:val="20"/>
          <w:lang w:val="en-US"/>
        </w:rPr>
      </w:pPr>
      <w:r w:rsidRPr="00975089">
        <w:rPr>
          <w:rFonts w:cs="Times New Roman"/>
          <w:color w:val="595454" w:themeColor="text1"/>
          <w:sz w:val="20"/>
          <w:szCs w:val="20"/>
        </w:rPr>
        <w:t>At the time of the CDF recommendation, there was no indication that PD-L1 &lt;1% patients would be excluded from the review going forwards.  The 2017 FAD makes clear that based “</w:t>
      </w:r>
      <w:r w:rsidRPr="00975089">
        <w:rPr>
          <w:rFonts w:cs="Times New Roman"/>
          <w:i/>
          <w:color w:val="595454" w:themeColor="text1"/>
          <w:sz w:val="20"/>
          <w:szCs w:val="20"/>
        </w:rPr>
        <w:t xml:space="preserve">on the clinical evidence presented to it </w:t>
      </w:r>
      <w:r w:rsidRPr="00975089">
        <w:rPr>
          <w:rFonts w:cs="Times New Roman"/>
          <w:color w:val="595454" w:themeColor="text1"/>
          <w:sz w:val="20"/>
          <w:szCs w:val="20"/>
        </w:rPr>
        <w:t>[</w:t>
      </w:r>
      <w:r w:rsidRPr="00975089">
        <w:rPr>
          <w:rFonts w:cs="Times New Roman"/>
          <w:i/>
          <w:color w:val="595454" w:themeColor="text1"/>
          <w:sz w:val="20"/>
          <w:szCs w:val="20"/>
        </w:rPr>
        <w:t>i.e.,</w:t>
      </w:r>
      <w:r w:rsidRPr="00975089">
        <w:rPr>
          <w:rFonts w:cs="Times New Roman"/>
          <w:color w:val="595454" w:themeColor="text1"/>
          <w:sz w:val="20"/>
          <w:szCs w:val="20"/>
        </w:rPr>
        <w:t xml:space="preserve"> in 2017]</w:t>
      </w:r>
      <w:r w:rsidRPr="00975089">
        <w:rPr>
          <w:rFonts w:cs="Times New Roman"/>
          <w:i/>
          <w:color w:val="595454" w:themeColor="text1"/>
          <w:sz w:val="20"/>
          <w:szCs w:val="20"/>
        </w:rPr>
        <w:t xml:space="preserve">, the Committee considered it reasonable to exclude… </w:t>
      </w:r>
      <w:r w:rsidRPr="00975089">
        <w:rPr>
          <w:rFonts w:cs="Times New Roman"/>
          <w:color w:val="595454" w:themeColor="text1"/>
          <w:sz w:val="20"/>
          <w:szCs w:val="20"/>
        </w:rPr>
        <w:t>[PD-L1 &lt;1% and unquantifiable patients]</w:t>
      </w:r>
      <w:r w:rsidRPr="00975089">
        <w:rPr>
          <w:rFonts w:cs="Times New Roman"/>
          <w:i/>
          <w:color w:val="595454" w:themeColor="text1"/>
          <w:sz w:val="20"/>
          <w:szCs w:val="20"/>
        </w:rPr>
        <w:t xml:space="preserve"> from the cost effectiveness considerations </w:t>
      </w:r>
      <w:r w:rsidRPr="00975089">
        <w:rPr>
          <w:rFonts w:cs="Times New Roman"/>
          <w:color w:val="595454" w:themeColor="text1"/>
          <w:sz w:val="20"/>
          <w:szCs w:val="20"/>
        </w:rPr>
        <w:t>[</w:t>
      </w:r>
      <w:r w:rsidRPr="00975089">
        <w:rPr>
          <w:rFonts w:cs="Times New Roman"/>
          <w:i/>
          <w:color w:val="595454" w:themeColor="text1"/>
          <w:sz w:val="20"/>
          <w:szCs w:val="20"/>
        </w:rPr>
        <w:t>i.e.,</w:t>
      </w:r>
      <w:r w:rsidRPr="00975089">
        <w:rPr>
          <w:rFonts w:cs="Times New Roman"/>
          <w:color w:val="595454" w:themeColor="text1"/>
          <w:sz w:val="20"/>
          <w:szCs w:val="20"/>
        </w:rPr>
        <w:t xml:space="preserve"> in 2017]</w:t>
      </w:r>
      <w:r w:rsidRPr="00975089">
        <w:rPr>
          <w:rFonts w:cs="Times New Roman"/>
          <w:i/>
          <w:color w:val="595454" w:themeColor="text1"/>
          <w:sz w:val="20"/>
          <w:szCs w:val="20"/>
        </w:rPr>
        <w:t>.</w:t>
      </w:r>
      <w:r w:rsidRPr="00975089">
        <w:rPr>
          <w:rFonts w:cs="Times New Roman"/>
          <w:color w:val="595454" w:themeColor="text1"/>
          <w:sz w:val="20"/>
          <w:szCs w:val="20"/>
        </w:rPr>
        <w:t>”</w:t>
      </w:r>
      <w:r w:rsidRPr="00975089">
        <w:rPr>
          <w:rStyle w:val="FootnoteReference"/>
          <w:rFonts w:cs="Times New Roman"/>
          <w:color w:val="595454" w:themeColor="text1"/>
          <w:sz w:val="20"/>
          <w:szCs w:val="20"/>
        </w:rPr>
        <w:footnoteReference w:id="11"/>
      </w:r>
      <w:r w:rsidRPr="00975089">
        <w:rPr>
          <w:rFonts w:cs="Times New Roman"/>
          <w:color w:val="595454" w:themeColor="text1"/>
          <w:sz w:val="20"/>
          <w:szCs w:val="20"/>
        </w:rPr>
        <w:t xml:space="preserve">  The 2017 FAD does not say that the CDF review must also exclude this sub-group.  </w:t>
      </w:r>
    </w:p>
    <w:p w14:paraId="60256BBF" w14:textId="77777777" w:rsidR="00975089" w:rsidRPr="00975089" w:rsidRDefault="00975089" w:rsidP="00975089">
      <w:pPr>
        <w:pStyle w:val="BodyText"/>
        <w:numPr>
          <w:ilvl w:val="0"/>
          <w:numId w:val="18"/>
        </w:numPr>
        <w:jc w:val="both"/>
        <w:rPr>
          <w:rFonts w:cs="Times New Roman"/>
          <w:color w:val="595454" w:themeColor="text1"/>
          <w:sz w:val="20"/>
          <w:szCs w:val="20"/>
          <w:lang w:val="en-US"/>
        </w:rPr>
      </w:pPr>
      <w:r w:rsidRPr="00975089">
        <w:rPr>
          <w:rFonts w:cs="Times New Roman"/>
          <w:color w:val="595454" w:themeColor="text1"/>
          <w:sz w:val="20"/>
          <w:szCs w:val="20"/>
          <w:lang w:val="en-US"/>
        </w:rPr>
        <w:t>The 2017 Managed Access Agreement points to the Appraisal Committee taking a holistic view of the evidence collected over the CDF period.  Section 4.1 states:</w:t>
      </w:r>
    </w:p>
    <w:p w14:paraId="16A37AFF" w14:textId="77777777" w:rsidR="00975089" w:rsidRPr="00975089" w:rsidRDefault="00975089" w:rsidP="00975089">
      <w:pPr>
        <w:pStyle w:val="BodyText"/>
        <w:ind w:left="1440"/>
        <w:jc w:val="both"/>
        <w:rPr>
          <w:rFonts w:eastAsia="Calibri" w:cs="Times New Roman"/>
          <w:bCs/>
          <w:i/>
          <w:color w:val="595454" w:themeColor="text1"/>
          <w:sz w:val="20"/>
          <w:szCs w:val="20"/>
        </w:rPr>
      </w:pPr>
      <w:r w:rsidRPr="00975089">
        <w:rPr>
          <w:rFonts w:cs="Times New Roman"/>
          <w:i/>
          <w:color w:val="595454" w:themeColor="text1"/>
          <w:sz w:val="20"/>
          <w:szCs w:val="20"/>
          <w:lang w:val="en-US"/>
        </w:rPr>
        <w:t>“</w:t>
      </w:r>
      <w:r w:rsidRPr="00975089">
        <w:rPr>
          <w:rFonts w:eastAsia="Calibri" w:cs="Times New Roman"/>
          <w:b/>
          <w:i/>
          <w:color w:val="595454" w:themeColor="text1"/>
          <w:sz w:val="20"/>
          <w:szCs w:val="20"/>
        </w:rPr>
        <w:t>While the use of nivolumab within the CDF is available only to those with a PD-L1 expression of at least 1%, different PD-L1 expression level [sic] will therefore be explored as part of the data collection arrangement</w:t>
      </w:r>
      <w:r w:rsidRPr="00975089">
        <w:rPr>
          <w:rFonts w:eastAsia="Calibri" w:cs="Times New Roman"/>
          <w:i/>
          <w:color w:val="595454" w:themeColor="text1"/>
          <w:sz w:val="20"/>
          <w:szCs w:val="20"/>
        </w:rPr>
        <w:t xml:space="preserve">. The primary data source will be </w:t>
      </w:r>
      <w:proofErr w:type="spellStart"/>
      <w:r w:rsidRPr="00975089">
        <w:rPr>
          <w:rFonts w:eastAsia="Calibri" w:cs="Times New Roman"/>
          <w:i/>
          <w:color w:val="595454" w:themeColor="text1"/>
          <w:sz w:val="20"/>
          <w:szCs w:val="20"/>
        </w:rPr>
        <w:t>CheckMate</w:t>
      </w:r>
      <w:proofErr w:type="spellEnd"/>
      <w:r w:rsidRPr="00975089">
        <w:rPr>
          <w:rFonts w:eastAsia="Calibri" w:cs="Times New Roman"/>
          <w:i/>
          <w:color w:val="595454" w:themeColor="text1"/>
          <w:sz w:val="20"/>
          <w:szCs w:val="20"/>
        </w:rPr>
        <w:t xml:space="preserve"> -057 as the protocol for this trial included collecting this data along with other biomarkers at baseline. </w:t>
      </w:r>
      <w:r w:rsidRPr="00975089">
        <w:rPr>
          <w:rFonts w:eastAsia="Calibri" w:cs="Times New Roman"/>
          <w:b/>
          <w:i/>
          <w:color w:val="595454" w:themeColor="text1"/>
          <w:sz w:val="20"/>
          <w:szCs w:val="20"/>
        </w:rPr>
        <w:t xml:space="preserve"> PD-L1 expression subgroup analyses using the 5-year follow-up data will be undertaken, including cost-effectiveness analysis, and provided to NICE when the guidance is reviewed</w:t>
      </w:r>
      <w:r w:rsidRPr="00975089">
        <w:rPr>
          <w:rFonts w:eastAsia="Calibri" w:cs="Times New Roman"/>
          <w:bCs/>
          <w:i/>
          <w:color w:val="595454" w:themeColor="text1"/>
          <w:sz w:val="20"/>
          <w:szCs w:val="20"/>
        </w:rPr>
        <w:t xml:space="preserve">” </w:t>
      </w:r>
      <w:r w:rsidRPr="00975089">
        <w:rPr>
          <w:rFonts w:eastAsia="Calibri" w:cs="Times New Roman"/>
          <w:bCs/>
          <w:color w:val="595454" w:themeColor="text1"/>
          <w:sz w:val="20"/>
          <w:szCs w:val="20"/>
        </w:rPr>
        <w:t>(emphasis added).</w:t>
      </w:r>
    </w:p>
    <w:p w14:paraId="18B24D20" w14:textId="4D7965F6" w:rsidR="00975089" w:rsidRPr="00975089" w:rsidRDefault="00975089" w:rsidP="00975089">
      <w:pPr>
        <w:pStyle w:val="BodyText"/>
        <w:ind w:left="720"/>
        <w:jc w:val="both"/>
        <w:rPr>
          <w:rFonts w:cs="Times New Roman"/>
          <w:color w:val="595454" w:themeColor="text1"/>
          <w:sz w:val="20"/>
          <w:szCs w:val="20"/>
          <w:lang w:val="en-US"/>
        </w:rPr>
      </w:pPr>
      <w:r w:rsidRPr="00975089">
        <w:rPr>
          <w:rFonts w:cs="Times New Roman"/>
          <w:color w:val="595454" w:themeColor="text1"/>
          <w:sz w:val="20"/>
          <w:szCs w:val="20"/>
          <w:lang w:val="en-US"/>
        </w:rPr>
        <w:lastRenderedPageBreak/>
        <w:t xml:space="preserve">Although CDF funding was limited to PD-L1 positive patients, the Managed Access Agreement expressly contemplates collecting data from </w:t>
      </w:r>
      <w:proofErr w:type="spellStart"/>
      <w:r w:rsidRPr="00975089">
        <w:rPr>
          <w:rFonts w:cs="Times New Roman"/>
          <w:color w:val="595454" w:themeColor="text1"/>
          <w:sz w:val="20"/>
          <w:szCs w:val="20"/>
          <w:lang w:val="en-US"/>
        </w:rPr>
        <w:t>CheckMate</w:t>
      </w:r>
      <w:proofErr w:type="spellEnd"/>
      <w:r w:rsidRPr="00975089">
        <w:rPr>
          <w:rFonts w:cs="Times New Roman"/>
          <w:color w:val="595454" w:themeColor="text1"/>
          <w:sz w:val="20"/>
          <w:szCs w:val="20"/>
          <w:lang w:val="en-US"/>
        </w:rPr>
        <w:t xml:space="preserve"> 057 across different PD-L1 expression levels.  In other words, the agreement pointed to exploring clinical efficacy in patients with PD-L1 levels above 0%, as all such patients “express” PD-L1 (in that respect, patients with PD-L1 </w:t>
      </w:r>
      <w:r w:rsidR="0022276F">
        <w:rPr>
          <w:rFonts w:cs="Times New Roman"/>
          <w:color w:val="595454" w:themeColor="text1"/>
          <w:sz w:val="20"/>
          <w:szCs w:val="20"/>
          <w:lang w:val="en-US"/>
        </w:rPr>
        <w:t>&lt;1%</w:t>
      </w:r>
      <w:r w:rsidRPr="00975089">
        <w:rPr>
          <w:rFonts w:cs="Times New Roman"/>
          <w:color w:val="595454" w:themeColor="text1"/>
          <w:sz w:val="20"/>
          <w:szCs w:val="20"/>
          <w:lang w:val="en-US"/>
        </w:rPr>
        <w:t xml:space="preserve"> are called PD-L1 “negatives” as a matter of convenience).  The meaning conveyed to BMS and other stakeholders at the time (which is reinforced by the Scope and the Methods Guide) is that data relating to patients expressing PD-L1 &lt;1% would be explored with a view to resolving uncertainty.  The Managed Access Agreement does not say or suggest that “</w:t>
      </w:r>
      <w:r w:rsidRPr="00975089">
        <w:rPr>
          <w:rFonts w:cs="Times New Roman"/>
          <w:i/>
          <w:color w:val="595454" w:themeColor="text1"/>
          <w:sz w:val="20"/>
          <w:szCs w:val="20"/>
          <w:lang w:val="en-US"/>
        </w:rPr>
        <w:t>…only PD-L1 expression levels above 1% will be explored…</w:t>
      </w:r>
      <w:r w:rsidRPr="00975089">
        <w:rPr>
          <w:rFonts w:cs="Times New Roman"/>
          <w:color w:val="595454" w:themeColor="text1"/>
          <w:sz w:val="20"/>
          <w:szCs w:val="20"/>
          <w:lang w:val="en-US"/>
        </w:rPr>
        <w:t>” This may be what the Committee, in hindsight, wishes that the agreement means.  But that is irrelevant when it comes to assessing legitimate expectations created at the time.</w:t>
      </w:r>
    </w:p>
    <w:p w14:paraId="0B4578DB" w14:textId="77777777" w:rsidR="00975089" w:rsidRPr="00975089" w:rsidRDefault="00975089" w:rsidP="00975089">
      <w:pPr>
        <w:pStyle w:val="BodyText"/>
        <w:jc w:val="both"/>
        <w:rPr>
          <w:rFonts w:cs="Times New Roman"/>
          <w:color w:val="595454" w:themeColor="text1"/>
          <w:sz w:val="20"/>
          <w:szCs w:val="20"/>
          <w:lang w:val="en-US"/>
        </w:rPr>
      </w:pPr>
      <w:r w:rsidRPr="00975089">
        <w:rPr>
          <w:rFonts w:cs="Times New Roman"/>
          <w:color w:val="595454" w:themeColor="text1"/>
          <w:sz w:val="20"/>
          <w:szCs w:val="20"/>
          <w:lang w:val="en-US"/>
        </w:rPr>
        <w:t xml:space="preserve">BMS has collected and submitted evidence in accordance with the Scope and the nivolumab marketing authorization.  BMS legitimately expected NICE to take those data into account. </w:t>
      </w:r>
    </w:p>
    <w:p w14:paraId="033A0DD4" w14:textId="77777777" w:rsidR="00975089" w:rsidRPr="00975089" w:rsidRDefault="00975089" w:rsidP="00975089">
      <w:pPr>
        <w:pStyle w:val="Heading3"/>
        <w:numPr>
          <w:ilvl w:val="2"/>
          <w:numId w:val="6"/>
        </w:numPr>
        <w:jc w:val="both"/>
        <w:rPr>
          <w:rFonts w:asciiTheme="minorHAnsi" w:hAnsiTheme="minorHAnsi" w:cs="Times New Roman"/>
          <w:b/>
          <w:color w:val="595454" w:themeColor="text1"/>
          <w:sz w:val="20"/>
          <w:szCs w:val="20"/>
        </w:rPr>
      </w:pPr>
      <w:r w:rsidRPr="00975089">
        <w:rPr>
          <w:rFonts w:asciiTheme="minorHAnsi" w:hAnsiTheme="minorHAnsi" w:cs="Times New Roman"/>
          <w:b/>
          <w:color w:val="595454" w:themeColor="text1"/>
          <w:sz w:val="20"/>
          <w:szCs w:val="20"/>
        </w:rPr>
        <w:t>Ground 1(a).3 — NICE’s approach in ID1572 has infringed fundamental public law principles</w:t>
      </w:r>
    </w:p>
    <w:p w14:paraId="65312E31" w14:textId="77777777" w:rsidR="00975089" w:rsidRPr="00975089" w:rsidRDefault="00975089" w:rsidP="00975089">
      <w:pPr>
        <w:pStyle w:val="BodyText"/>
        <w:jc w:val="both"/>
        <w:rPr>
          <w:rFonts w:cs="Times New Roman"/>
          <w:color w:val="595454" w:themeColor="text1"/>
          <w:sz w:val="20"/>
          <w:szCs w:val="20"/>
        </w:rPr>
      </w:pPr>
      <w:r w:rsidRPr="00975089">
        <w:rPr>
          <w:rFonts w:eastAsia="Calibri" w:cs="Times New Roman"/>
          <w:color w:val="595454" w:themeColor="text1"/>
          <w:sz w:val="20"/>
          <w:szCs w:val="20"/>
        </w:rPr>
        <w:t>As a public body, NICE must act in accordance with public law.  Its approach in ID1572 breaches numerous fundamental public law principles.</w:t>
      </w:r>
    </w:p>
    <w:p w14:paraId="2AC60624" w14:textId="77777777" w:rsidR="00975089" w:rsidRPr="00975089" w:rsidRDefault="00975089" w:rsidP="00975089">
      <w:pPr>
        <w:pStyle w:val="Heading4"/>
        <w:numPr>
          <w:ilvl w:val="0"/>
          <w:numId w:val="26"/>
        </w:numPr>
        <w:jc w:val="both"/>
        <w:rPr>
          <w:rFonts w:asciiTheme="minorHAnsi" w:hAnsiTheme="minorHAnsi" w:cs="Times New Roman"/>
          <w:b/>
          <w:color w:val="595454" w:themeColor="text1"/>
          <w:sz w:val="20"/>
          <w:szCs w:val="20"/>
        </w:rPr>
      </w:pPr>
      <w:r w:rsidRPr="00975089">
        <w:rPr>
          <w:rFonts w:asciiTheme="minorHAnsi" w:hAnsiTheme="minorHAnsi" w:cs="Times New Roman"/>
          <w:b/>
          <w:color w:val="595454" w:themeColor="text1"/>
          <w:sz w:val="20"/>
          <w:szCs w:val="20"/>
        </w:rPr>
        <w:t>NICE has failed to take relevant evidence into account</w:t>
      </w:r>
    </w:p>
    <w:p w14:paraId="09E6529F" w14:textId="77777777" w:rsidR="00975089" w:rsidRPr="00975089" w:rsidRDefault="00975089" w:rsidP="00975089">
      <w:pPr>
        <w:spacing w:after="240"/>
        <w:jc w:val="both"/>
        <w:rPr>
          <w:rFonts w:eastAsia="Calibri" w:cs="Times New Roman"/>
          <w:szCs w:val="20"/>
        </w:rPr>
      </w:pPr>
      <w:r w:rsidRPr="00975089">
        <w:rPr>
          <w:rFonts w:eastAsia="Calibri" w:cs="Times New Roman"/>
          <w:szCs w:val="20"/>
        </w:rPr>
        <w:t xml:space="preserve">NICE must accept and appraise all relevant evidence, regardless of any internal positions or preferences.  </w:t>
      </w:r>
      <w:r w:rsidRPr="00975089">
        <w:rPr>
          <w:rFonts w:cs="Times New Roman"/>
          <w:szCs w:val="20"/>
        </w:rPr>
        <w:t>This is confirmed in case law: “</w:t>
      </w:r>
      <w:r w:rsidRPr="00975089">
        <w:rPr>
          <w:rFonts w:cs="Times New Roman"/>
          <w:i/>
          <w:szCs w:val="20"/>
        </w:rPr>
        <w:t>NICE has a duty to obtain and evaluate all relevant evidence.</w:t>
      </w:r>
      <w:r w:rsidRPr="00975089">
        <w:rPr>
          <w:rFonts w:cs="Times New Roman"/>
          <w:szCs w:val="20"/>
        </w:rPr>
        <w:t>”</w:t>
      </w:r>
      <w:r w:rsidRPr="00975089">
        <w:rPr>
          <w:rStyle w:val="FootnoteReference"/>
          <w:rFonts w:cs="Times New Roman"/>
          <w:szCs w:val="20"/>
        </w:rPr>
        <w:footnoteReference w:id="12"/>
      </w:r>
      <w:r w:rsidRPr="00975089">
        <w:rPr>
          <w:rFonts w:eastAsia="Calibri" w:cs="Times New Roman"/>
          <w:szCs w:val="20"/>
        </w:rPr>
        <w:t xml:space="preserve">  Section 3.3.1 of NICE Methods Guide also states:</w:t>
      </w:r>
    </w:p>
    <w:p w14:paraId="63FC526F" w14:textId="77777777" w:rsidR="00975089" w:rsidRPr="00975089" w:rsidRDefault="00975089" w:rsidP="00975089">
      <w:pPr>
        <w:spacing w:after="240"/>
        <w:ind w:left="720"/>
        <w:jc w:val="both"/>
        <w:rPr>
          <w:rFonts w:eastAsia="Calibri" w:cs="Times New Roman"/>
          <w:szCs w:val="20"/>
        </w:rPr>
      </w:pPr>
      <w:r w:rsidRPr="00975089">
        <w:rPr>
          <w:rFonts w:eastAsia="Calibri" w:cs="Times New Roman"/>
          <w:szCs w:val="20"/>
        </w:rPr>
        <w:t>“</w:t>
      </w:r>
      <w:r w:rsidRPr="00975089">
        <w:rPr>
          <w:rFonts w:eastAsia="Times New Roman" w:cs="Times New Roman"/>
          <w:b/>
          <w:i/>
          <w:szCs w:val="20"/>
        </w:rPr>
        <w:t>Whatever the sources of evidence available</w:t>
      </w:r>
      <w:r w:rsidRPr="00975089">
        <w:rPr>
          <w:rFonts w:eastAsia="Times New Roman" w:cs="Times New Roman"/>
          <w:i/>
          <w:szCs w:val="20"/>
        </w:rPr>
        <w:t xml:space="preserve"> on a particular technology and patient group, they should be integrated into a systematic review. </w:t>
      </w:r>
      <w:r w:rsidRPr="00975089">
        <w:rPr>
          <w:rFonts w:eastAsia="Times New Roman" w:cs="Times New Roman"/>
          <w:b/>
          <w:i/>
          <w:szCs w:val="20"/>
        </w:rPr>
        <w:t>A systematic review attempts to assemble all the available relevant evidence</w:t>
      </w:r>
      <w:proofErr w:type="gramStart"/>
      <w:r w:rsidRPr="00975089">
        <w:rPr>
          <w:rFonts w:eastAsia="Times New Roman" w:cs="Times New Roman"/>
          <w:i/>
          <w:szCs w:val="20"/>
        </w:rPr>
        <w:t>…</w:t>
      </w:r>
      <w:r w:rsidRPr="00975089">
        <w:rPr>
          <w:rFonts w:eastAsia="Times New Roman" w:cs="Times New Roman"/>
          <w:szCs w:val="20"/>
        </w:rPr>
        <w:t>”(</w:t>
      </w:r>
      <w:proofErr w:type="gramEnd"/>
      <w:r w:rsidRPr="00975089">
        <w:rPr>
          <w:rFonts w:eastAsia="Times New Roman" w:cs="Times New Roman"/>
          <w:szCs w:val="20"/>
        </w:rPr>
        <w:t>emphasis added).</w:t>
      </w:r>
    </w:p>
    <w:p w14:paraId="61F360C3" w14:textId="77777777" w:rsidR="00975089" w:rsidRPr="00975089" w:rsidRDefault="00975089" w:rsidP="00975089">
      <w:pPr>
        <w:pStyle w:val="BodyText"/>
        <w:jc w:val="both"/>
        <w:rPr>
          <w:rFonts w:eastAsia="Calibri" w:cs="Times New Roman"/>
          <w:color w:val="595454" w:themeColor="text1"/>
          <w:sz w:val="20"/>
          <w:szCs w:val="20"/>
        </w:rPr>
      </w:pPr>
      <w:r w:rsidRPr="00975089">
        <w:rPr>
          <w:rFonts w:eastAsia="Calibri" w:cs="Times New Roman"/>
          <w:color w:val="595454" w:themeColor="text1"/>
          <w:sz w:val="20"/>
          <w:szCs w:val="20"/>
        </w:rPr>
        <w:t>NICE’s approach in ID1572 fails to respect these principles.  Clinical data relating to PD-L1 &lt;1% and inconclusive PD-L1 patients was clearly relevant to this review.  NICE’s failure to review or even accept those data is a breach of duty.</w:t>
      </w:r>
    </w:p>
    <w:p w14:paraId="50D3FD05" w14:textId="77777777" w:rsidR="00975089" w:rsidRPr="00975089" w:rsidRDefault="00975089" w:rsidP="00975089">
      <w:pPr>
        <w:pStyle w:val="Heading4"/>
        <w:jc w:val="both"/>
        <w:rPr>
          <w:rFonts w:asciiTheme="minorHAnsi" w:hAnsiTheme="minorHAnsi" w:cs="Times New Roman"/>
          <w:b/>
          <w:color w:val="595454" w:themeColor="text1"/>
          <w:sz w:val="20"/>
          <w:szCs w:val="20"/>
        </w:rPr>
      </w:pPr>
      <w:r w:rsidRPr="00975089">
        <w:rPr>
          <w:rFonts w:asciiTheme="minorHAnsi" w:hAnsiTheme="minorHAnsi" w:cs="Times New Roman"/>
          <w:b/>
          <w:color w:val="595454" w:themeColor="text1"/>
          <w:sz w:val="20"/>
          <w:szCs w:val="20"/>
        </w:rPr>
        <w:t>The approach undermines BMS’ right to a fair hearing</w:t>
      </w:r>
    </w:p>
    <w:p w14:paraId="6F9E7D09" w14:textId="77777777" w:rsidR="00975089" w:rsidRPr="00975089" w:rsidRDefault="00975089" w:rsidP="00975089">
      <w:pPr>
        <w:pStyle w:val="BodyText"/>
        <w:jc w:val="both"/>
        <w:rPr>
          <w:rFonts w:cs="Times New Roman"/>
          <w:color w:val="595454" w:themeColor="text1"/>
          <w:sz w:val="20"/>
          <w:szCs w:val="20"/>
        </w:rPr>
      </w:pPr>
      <w:r w:rsidRPr="00975089">
        <w:rPr>
          <w:rFonts w:eastAsia="Calibri" w:cs="Times New Roman"/>
          <w:color w:val="595454" w:themeColor="text1"/>
          <w:sz w:val="20"/>
          <w:szCs w:val="20"/>
        </w:rPr>
        <w:t>BMS has a right to a fair hearing.  It must be free to submit in-scope information.  NICE is duty-bound to review those submissions fairly and in good faith.</w:t>
      </w:r>
      <w:r w:rsidRPr="00975089">
        <w:rPr>
          <w:rFonts w:cs="Times New Roman"/>
          <w:color w:val="595454" w:themeColor="text1"/>
          <w:sz w:val="20"/>
          <w:szCs w:val="20"/>
        </w:rPr>
        <w:t xml:space="preserve">  Ignoring information that has been put before a decision-maker, without examining it, is inconsistent with the right to a fair hearing.</w:t>
      </w:r>
      <w:r w:rsidRPr="00975089">
        <w:rPr>
          <w:rStyle w:val="FootnoteReference"/>
          <w:rFonts w:cs="Times New Roman"/>
          <w:color w:val="595454" w:themeColor="text1"/>
          <w:sz w:val="20"/>
          <w:szCs w:val="20"/>
        </w:rPr>
        <w:footnoteReference w:id="13"/>
      </w:r>
      <w:r w:rsidRPr="00975089">
        <w:rPr>
          <w:rFonts w:cs="Times New Roman"/>
          <w:color w:val="595454" w:themeColor="text1"/>
          <w:sz w:val="20"/>
          <w:szCs w:val="20"/>
        </w:rPr>
        <w:t xml:space="preserve">  Courts have confirmed that it is “</w:t>
      </w:r>
      <w:r w:rsidRPr="00975089">
        <w:rPr>
          <w:rFonts w:cs="Times New Roman"/>
          <w:i/>
          <w:color w:val="595454" w:themeColor="text1"/>
          <w:sz w:val="20"/>
          <w:szCs w:val="20"/>
        </w:rPr>
        <w:t xml:space="preserve">plainly incumbent upon NICE to consider [clinical trial data] …since that had been submitted and relied upon </w:t>
      </w:r>
      <w:r w:rsidRPr="00975089">
        <w:rPr>
          <w:rFonts w:cs="Times New Roman"/>
          <w:i/>
          <w:color w:val="595454" w:themeColor="text1"/>
          <w:sz w:val="20"/>
          <w:szCs w:val="20"/>
        </w:rPr>
        <w:lastRenderedPageBreak/>
        <w:t>by a consultee.</w:t>
      </w:r>
      <w:r w:rsidRPr="00975089">
        <w:rPr>
          <w:rFonts w:cs="Times New Roman"/>
          <w:color w:val="595454" w:themeColor="text1"/>
          <w:sz w:val="20"/>
          <w:szCs w:val="20"/>
        </w:rPr>
        <w:t>”</w:t>
      </w:r>
      <w:r w:rsidRPr="00975089">
        <w:rPr>
          <w:rStyle w:val="FootnoteReference"/>
          <w:rFonts w:cs="Times New Roman"/>
          <w:color w:val="595454" w:themeColor="text1"/>
          <w:sz w:val="20"/>
          <w:szCs w:val="20"/>
        </w:rPr>
        <w:footnoteReference w:id="14"/>
      </w:r>
      <w:r w:rsidRPr="00975089">
        <w:rPr>
          <w:rFonts w:cs="Times New Roman"/>
          <w:color w:val="595454" w:themeColor="text1"/>
          <w:sz w:val="20"/>
          <w:szCs w:val="20"/>
        </w:rPr>
        <w:t xml:space="preserve">  In this CDF review, NICE has self-evidently breached these requirements.</w:t>
      </w:r>
    </w:p>
    <w:p w14:paraId="2E2FA267" w14:textId="77777777" w:rsidR="00975089" w:rsidRPr="00975089" w:rsidRDefault="00975089" w:rsidP="00975089">
      <w:pPr>
        <w:pStyle w:val="Heading4"/>
        <w:jc w:val="both"/>
        <w:rPr>
          <w:rFonts w:asciiTheme="minorHAnsi" w:hAnsiTheme="minorHAnsi" w:cs="Times New Roman"/>
          <w:b/>
          <w:color w:val="595454" w:themeColor="text1"/>
          <w:sz w:val="20"/>
          <w:szCs w:val="20"/>
          <w:lang w:val="en-US"/>
        </w:rPr>
      </w:pPr>
      <w:r w:rsidRPr="00975089">
        <w:rPr>
          <w:rFonts w:asciiTheme="minorHAnsi" w:hAnsiTheme="minorHAnsi" w:cs="Times New Roman"/>
          <w:b/>
          <w:color w:val="595454" w:themeColor="text1"/>
          <w:sz w:val="20"/>
          <w:szCs w:val="20"/>
        </w:rPr>
        <w:t>NICE has inappropriately fettered its discretion</w:t>
      </w:r>
    </w:p>
    <w:p w14:paraId="7476250D" w14:textId="5615ACC2" w:rsidR="00975089" w:rsidRPr="00975089" w:rsidRDefault="00975089" w:rsidP="00975089">
      <w:pPr>
        <w:pStyle w:val="BodyText"/>
        <w:jc w:val="both"/>
        <w:rPr>
          <w:rFonts w:cs="Times New Roman"/>
          <w:color w:val="595454" w:themeColor="text1"/>
          <w:sz w:val="20"/>
          <w:szCs w:val="20"/>
          <w:lang w:val="en-US"/>
        </w:rPr>
      </w:pPr>
      <w:r w:rsidRPr="00975089">
        <w:rPr>
          <w:rFonts w:cs="Times New Roman"/>
          <w:color w:val="595454" w:themeColor="text1"/>
          <w:sz w:val="20"/>
          <w:szCs w:val="20"/>
          <w:lang w:val="en-US"/>
        </w:rPr>
        <w:t>If NICE is lawfully able to exercise discretion or make a judgement call, it cannot refuse to do so because of an internal position or policy.  That would be an unlawful fettering of discretion</w:t>
      </w:r>
      <w:r w:rsidRPr="00975089">
        <w:rPr>
          <w:rStyle w:val="FootnoteReference"/>
          <w:rFonts w:cs="Times New Roman"/>
          <w:color w:val="595454" w:themeColor="text1"/>
          <w:sz w:val="20"/>
          <w:szCs w:val="20"/>
          <w:lang w:val="en-US"/>
        </w:rPr>
        <w:footnoteReference w:id="15"/>
      </w:r>
      <w:r w:rsidRPr="00975089">
        <w:rPr>
          <w:rFonts w:cs="Times New Roman"/>
          <w:color w:val="595454" w:themeColor="text1"/>
          <w:sz w:val="20"/>
          <w:szCs w:val="20"/>
          <w:lang w:val="en-US"/>
        </w:rPr>
        <w:t xml:space="preserve">  Yet, this is exactly what NICE has done in ID1572.  According to its statutory remit and its own procedures and policies, NICE had the ability to review and engage with the totality of BMS’ submissions (indeed this was a requirement under the 2019 Scope</w:t>
      </w:r>
      <w:r w:rsidR="008F6EC7">
        <w:rPr>
          <w:rFonts w:cs="Times New Roman"/>
          <w:color w:val="595454" w:themeColor="text1"/>
          <w:sz w:val="20"/>
          <w:szCs w:val="20"/>
          <w:lang w:val="en-US"/>
        </w:rPr>
        <w:t>)</w:t>
      </w:r>
      <w:r w:rsidRPr="00975089">
        <w:rPr>
          <w:rFonts w:cs="Times New Roman"/>
          <w:color w:val="595454" w:themeColor="text1"/>
          <w:sz w:val="20"/>
          <w:szCs w:val="20"/>
          <w:lang w:val="en-US"/>
        </w:rPr>
        <w:t xml:space="preserve">.  It has made a conscious choice not to do this because of an internal position it has decided to adopt.  The consequences of this choice are detrimental to BMS and the interests of patients.  </w:t>
      </w:r>
      <w:proofErr w:type="gramStart"/>
      <w:r w:rsidRPr="00975089">
        <w:rPr>
          <w:rFonts w:cs="Times New Roman"/>
          <w:color w:val="595454" w:themeColor="text1"/>
          <w:sz w:val="20"/>
          <w:szCs w:val="20"/>
          <w:lang w:val="en-US"/>
        </w:rPr>
        <w:t>It is clear that NICE</w:t>
      </w:r>
      <w:proofErr w:type="gramEnd"/>
      <w:r w:rsidRPr="00975089">
        <w:rPr>
          <w:rFonts w:cs="Times New Roman"/>
          <w:color w:val="595454" w:themeColor="text1"/>
          <w:sz w:val="20"/>
          <w:szCs w:val="20"/>
          <w:lang w:val="en-US"/>
        </w:rPr>
        <w:t xml:space="preserve"> has inappropriately fettered its discretion.</w:t>
      </w:r>
    </w:p>
    <w:p w14:paraId="7378698B" w14:textId="77777777" w:rsidR="00975089" w:rsidRPr="00975089" w:rsidRDefault="00975089" w:rsidP="00975089">
      <w:pPr>
        <w:pStyle w:val="Heading4"/>
        <w:jc w:val="both"/>
        <w:rPr>
          <w:rFonts w:asciiTheme="minorHAnsi" w:hAnsiTheme="minorHAnsi" w:cs="Times New Roman"/>
          <w:b/>
          <w:color w:val="595454" w:themeColor="text1"/>
          <w:sz w:val="20"/>
          <w:szCs w:val="20"/>
          <w:lang w:val="en-US"/>
        </w:rPr>
      </w:pPr>
      <w:r w:rsidRPr="00975089">
        <w:rPr>
          <w:rFonts w:asciiTheme="minorHAnsi" w:hAnsiTheme="minorHAnsi" w:cs="Times New Roman"/>
          <w:b/>
          <w:color w:val="595454" w:themeColor="text1"/>
          <w:sz w:val="20"/>
          <w:szCs w:val="20"/>
          <w:lang w:val="en-US"/>
        </w:rPr>
        <w:t>NICE’s failure to explain or justify its approach means that its procedures lack transparency</w:t>
      </w:r>
    </w:p>
    <w:p w14:paraId="6D75E338" w14:textId="77777777" w:rsidR="00975089" w:rsidRPr="00975089" w:rsidRDefault="00975089" w:rsidP="00975089">
      <w:pPr>
        <w:pStyle w:val="BodyText"/>
        <w:jc w:val="both"/>
        <w:rPr>
          <w:rFonts w:cs="Times New Roman"/>
          <w:color w:val="595454" w:themeColor="text1"/>
          <w:sz w:val="20"/>
          <w:szCs w:val="20"/>
          <w:lang w:val="en-US"/>
        </w:rPr>
      </w:pPr>
      <w:r w:rsidRPr="00975089">
        <w:rPr>
          <w:rFonts w:cs="Times New Roman"/>
          <w:color w:val="595454" w:themeColor="text1"/>
          <w:sz w:val="20"/>
          <w:szCs w:val="20"/>
          <w:lang w:val="en-US"/>
        </w:rPr>
        <w:t xml:space="preserve">NICE’s decisions and processes should be clear and transparent.  The </w:t>
      </w:r>
      <w:r w:rsidRPr="00975089">
        <w:rPr>
          <w:rFonts w:cs="Times New Roman"/>
          <w:color w:val="595454" w:themeColor="text1"/>
          <w:sz w:val="20"/>
          <w:szCs w:val="20"/>
        </w:rPr>
        <w:t>Courts have held:</w:t>
      </w:r>
    </w:p>
    <w:p w14:paraId="5E9AC092" w14:textId="77777777" w:rsidR="00975089" w:rsidRPr="00975089" w:rsidRDefault="00975089" w:rsidP="00975089">
      <w:pPr>
        <w:pStyle w:val="BodyText"/>
        <w:ind w:left="720"/>
        <w:jc w:val="both"/>
        <w:rPr>
          <w:rFonts w:cs="Times New Roman"/>
          <w:i/>
          <w:color w:val="595454" w:themeColor="text1"/>
          <w:sz w:val="20"/>
          <w:szCs w:val="20"/>
          <w:lang w:val="en-US"/>
        </w:rPr>
      </w:pPr>
      <w:r w:rsidRPr="00975089">
        <w:rPr>
          <w:rFonts w:cs="Times New Roman"/>
          <w:i/>
          <w:color w:val="595454" w:themeColor="text1"/>
          <w:sz w:val="20"/>
          <w:szCs w:val="20"/>
        </w:rPr>
        <w:t>“The reasons for a decision must be intelligible and they must be adequate. They must enable the reader to understand why the matter was decided as it was and what conclusions were reached on the ‘principal and important issues.’”</w:t>
      </w:r>
      <w:r w:rsidRPr="00975089">
        <w:rPr>
          <w:rStyle w:val="FootnoteReference"/>
          <w:rFonts w:cs="Times New Roman"/>
          <w:i/>
          <w:color w:val="595454" w:themeColor="text1"/>
          <w:sz w:val="20"/>
          <w:szCs w:val="20"/>
        </w:rPr>
        <w:footnoteReference w:id="16"/>
      </w:r>
    </w:p>
    <w:p w14:paraId="71DA8A29" w14:textId="77777777" w:rsidR="00975089" w:rsidRPr="00975089" w:rsidRDefault="00975089" w:rsidP="00975089">
      <w:pPr>
        <w:pStyle w:val="BodyText"/>
        <w:jc w:val="both"/>
        <w:rPr>
          <w:rFonts w:cs="Times New Roman"/>
          <w:color w:val="595454" w:themeColor="text1"/>
          <w:sz w:val="20"/>
          <w:szCs w:val="20"/>
          <w:lang w:val="en-US"/>
        </w:rPr>
      </w:pPr>
      <w:r w:rsidRPr="00975089">
        <w:rPr>
          <w:rFonts w:cs="Times New Roman"/>
          <w:color w:val="595454" w:themeColor="text1"/>
          <w:sz w:val="20"/>
          <w:szCs w:val="20"/>
          <w:lang w:val="en-US"/>
        </w:rPr>
        <w:t>NICE has failed to justify its narrow interpretation of the Methods Guide; or explain why it has deviated from the Scope.  No such explanation exists in the FAD.  Patients and other stakeholders who read the document would not be able to understand why the recommendation does not cover the whole patient population.</w:t>
      </w:r>
    </w:p>
    <w:p w14:paraId="67F34107" w14:textId="6751F359" w:rsidR="00975089" w:rsidRPr="00975089" w:rsidRDefault="00975089" w:rsidP="00975089">
      <w:pPr>
        <w:pStyle w:val="BodyText"/>
        <w:jc w:val="both"/>
        <w:rPr>
          <w:rFonts w:cs="Times New Roman"/>
          <w:color w:val="595454" w:themeColor="text1"/>
          <w:sz w:val="20"/>
          <w:szCs w:val="20"/>
        </w:rPr>
      </w:pPr>
      <w:r w:rsidRPr="00975089">
        <w:rPr>
          <w:rFonts w:cs="Times New Roman"/>
          <w:color w:val="595454" w:themeColor="text1"/>
          <w:sz w:val="20"/>
          <w:szCs w:val="20"/>
          <w:lang w:val="en-US"/>
        </w:rPr>
        <w:t xml:space="preserve">BMS has asked NICE to explain its approach on multiple occasions.  Most notably, BMS wrote to </w:t>
      </w:r>
      <w:proofErr w:type="spellStart"/>
      <w:r w:rsidR="00A16F29" w:rsidRPr="00A16F29">
        <w:rPr>
          <w:rFonts w:cs="Times New Roman"/>
          <w:sz w:val="20"/>
          <w:szCs w:val="20"/>
          <w:highlight w:val="black"/>
          <w:lang w:val="en-US"/>
        </w:rPr>
        <w:t>xxxxx</w:t>
      </w:r>
      <w:proofErr w:type="spellEnd"/>
      <w:r w:rsidR="00A16F29">
        <w:rPr>
          <w:rFonts w:cs="Times New Roman"/>
          <w:color w:val="595454" w:themeColor="text1"/>
          <w:sz w:val="20"/>
          <w:szCs w:val="20"/>
          <w:lang w:val="en-US"/>
        </w:rPr>
        <w:t xml:space="preserve"> </w:t>
      </w:r>
      <w:proofErr w:type="spellStart"/>
      <w:r w:rsidR="00A16F29" w:rsidRPr="00A16F29">
        <w:rPr>
          <w:rFonts w:cs="Times New Roman"/>
          <w:sz w:val="20"/>
          <w:szCs w:val="20"/>
          <w:highlight w:val="black"/>
          <w:lang w:val="en-US"/>
        </w:rPr>
        <w:t>xxxxxx</w:t>
      </w:r>
      <w:proofErr w:type="spellEnd"/>
      <w:r w:rsidRPr="00975089">
        <w:rPr>
          <w:rFonts w:cs="Times New Roman"/>
          <w:color w:val="595454" w:themeColor="text1"/>
          <w:sz w:val="20"/>
          <w:szCs w:val="20"/>
          <w:lang w:val="en-US"/>
        </w:rPr>
        <w:t xml:space="preserve"> (</w:t>
      </w:r>
      <w:proofErr w:type="spellStart"/>
      <w:r w:rsidRPr="00975089">
        <w:rPr>
          <w:rFonts w:cs="Times New Roman"/>
          <w:color w:val="595454" w:themeColor="text1"/>
          <w:sz w:val="20"/>
          <w:szCs w:val="20"/>
          <w:lang w:val="en-US"/>
        </w:rPr>
        <w:t>Programme</w:t>
      </w:r>
      <w:proofErr w:type="spellEnd"/>
      <w:r w:rsidRPr="00975089">
        <w:rPr>
          <w:rFonts w:cs="Times New Roman"/>
          <w:color w:val="595454" w:themeColor="text1"/>
          <w:sz w:val="20"/>
          <w:szCs w:val="20"/>
          <w:lang w:val="en-US"/>
        </w:rPr>
        <w:t xml:space="preserve"> Director for Technology Appraisals) on 17 December 2019 to question the “</w:t>
      </w:r>
      <w:r w:rsidRPr="00975089">
        <w:rPr>
          <w:rFonts w:cs="Times New Roman"/>
          <w:i/>
          <w:color w:val="595454" w:themeColor="text1"/>
          <w:sz w:val="20"/>
          <w:szCs w:val="20"/>
          <w:lang w:val="en-US"/>
        </w:rPr>
        <w:t>legal and ethical basis of NICE’s current approach.</w:t>
      </w:r>
      <w:r w:rsidRPr="00975089">
        <w:rPr>
          <w:rFonts w:cs="Times New Roman"/>
          <w:color w:val="595454" w:themeColor="text1"/>
          <w:sz w:val="20"/>
          <w:szCs w:val="20"/>
          <w:lang w:val="en-US"/>
        </w:rPr>
        <w:t xml:space="preserve">”  The letter asked for further discussions.  BMS received no reply and NICE has failed to provide any reasonable explanation.  </w:t>
      </w:r>
    </w:p>
    <w:p w14:paraId="7A128660" w14:textId="77777777" w:rsidR="00975089" w:rsidRPr="00975089" w:rsidRDefault="00975089" w:rsidP="00975089">
      <w:pPr>
        <w:pStyle w:val="Heading2"/>
        <w:rPr>
          <w:rFonts w:asciiTheme="minorHAnsi" w:hAnsiTheme="minorHAnsi" w:cs="Times New Roman"/>
          <w:color w:val="595454" w:themeColor="text1"/>
        </w:rPr>
      </w:pPr>
      <w:r w:rsidRPr="00975089">
        <w:rPr>
          <w:rFonts w:asciiTheme="minorHAnsi" w:hAnsiTheme="minorHAnsi" w:cs="Times New Roman"/>
          <w:color w:val="595454" w:themeColor="text1"/>
        </w:rPr>
        <w:t>Ground 1(b) — NICE has exceeded its powers</w:t>
      </w:r>
    </w:p>
    <w:p w14:paraId="33BA131A" w14:textId="77777777" w:rsidR="00975089" w:rsidRPr="00975089" w:rsidRDefault="00975089" w:rsidP="00975089">
      <w:pPr>
        <w:pStyle w:val="Heading3"/>
        <w:numPr>
          <w:ilvl w:val="2"/>
          <w:numId w:val="6"/>
        </w:numPr>
        <w:jc w:val="both"/>
        <w:rPr>
          <w:rFonts w:asciiTheme="minorHAnsi" w:hAnsiTheme="minorHAnsi" w:cs="Times New Roman"/>
          <w:b/>
          <w:color w:val="595454" w:themeColor="text1"/>
          <w:sz w:val="20"/>
          <w:szCs w:val="20"/>
        </w:rPr>
      </w:pPr>
      <w:r w:rsidRPr="00975089">
        <w:rPr>
          <w:rFonts w:asciiTheme="minorHAnsi" w:hAnsiTheme="minorHAnsi" w:cs="Times New Roman"/>
          <w:b/>
          <w:color w:val="595454" w:themeColor="text1"/>
          <w:sz w:val="20"/>
          <w:szCs w:val="20"/>
        </w:rPr>
        <w:t>Ground 1(b).2 — NICE has breached its legal obligations under human rights and equalities laws</w:t>
      </w:r>
    </w:p>
    <w:p w14:paraId="047B9A99" w14:textId="77777777" w:rsidR="00975089" w:rsidRPr="00975089" w:rsidRDefault="00975089" w:rsidP="00975089">
      <w:pPr>
        <w:pStyle w:val="BodyText"/>
        <w:jc w:val="both"/>
        <w:rPr>
          <w:rFonts w:cs="Times New Roman"/>
          <w:color w:val="595454" w:themeColor="text1"/>
          <w:sz w:val="20"/>
          <w:szCs w:val="20"/>
        </w:rPr>
      </w:pPr>
      <w:r w:rsidRPr="00975089">
        <w:rPr>
          <w:rFonts w:cs="Times New Roman"/>
          <w:color w:val="595454" w:themeColor="text1"/>
          <w:sz w:val="20"/>
          <w:szCs w:val="20"/>
        </w:rPr>
        <w:t xml:space="preserve">NICE must respect the obligations imposed on public bodies by the human rights legislation, including European Convention of Human Rights (“Convention”), as transposed into national law under the Human Rights Act 1998 (“HRA”) and the Equality Act 2010 (“Equality Act”).  </w:t>
      </w:r>
      <w:r w:rsidRPr="00975089">
        <w:rPr>
          <w:rFonts w:cs="Times New Roman"/>
          <w:color w:val="595454" w:themeColor="text1"/>
          <w:sz w:val="20"/>
          <w:szCs w:val="20"/>
          <w:lang w:val="en-US"/>
        </w:rPr>
        <w:t xml:space="preserve">There are numerous references to this obligation in NICE </w:t>
      </w:r>
      <w:r w:rsidRPr="00975089">
        <w:rPr>
          <w:rFonts w:cs="Times New Roman"/>
          <w:color w:val="595454" w:themeColor="text1"/>
          <w:sz w:val="20"/>
          <w:szCs w:val="20"/>
          <w:lang w:val="en-US"/>
        </w:rPr>
        <w:lastRenderedPageBreak/>
        <w:t>guidance.</w:t>
      </w:r>
      <w:r w:rsidRPr="00975089">
        <w:rPr>
          <w:rStyle w:val="FootnoteReference"/>
          <w:rFonts w:cs="Times New Roman"/>
          <w:color w:val="595454" w:themeColor="text1"/>
          <w:sz w:val="20"/>
          <w:szCs w:val="20"/>
          <w:lang w:val="en-US"/>
        </w:rPr>
        <w:footnoteReference w:id="17"/>
      </w:r>
      <w:r w:rsidRPr="00975089">
        <w:rPr>
          <w:rFonts w:cs="Times New Roman"/>
          <w:color w:val="595454" w:themeColor="text1"/>
          <w:sz w:val="20"/>
          <w:szCs w:val="20"/>
          <w:lang w:val="en-US"/>
        </w:rPr>
        <w:t xml:space="preserve">  </w:t>
      </w:r>
      <w:r w:rsidRPr="00975089">
        <w:rPr>
          <w:rFonts w:cs="Times New Roman"/>
          <w:color w:val="595454" w:themeColor="text1"/>
          <w:sz w:val="20"/>
          <w:szCs w:val="20"/>
        </w:rPr>
        <w:t xml:space="preserve">Further, NICE, as a corporate body, may only exercise its functions on the direction of the Secretary of State for Health and/or NHS England and subject to those directions.  NICE is therefore bound to </w:t>
      </w:r>
      <w:proofErr w:type="gramStart"/>
      <w:r w:rsidRPr="00975089">
        <w:rPr>
          <w:rFonts w:cs="Times New Roman"/>
          <w:color w:val="595454" w:themeColor="text1"/>
          <w:sz w:val="20"/>
          <w:szCs w:val="20"/>
        </w:rPr>
        <w:t>take into account</w:t>
      </w:r>
      <w:proofErr w:type="gramEnd"/>
      <w:r w:rsidRPr="00975089">
        <w:rPr>
          <w:rFonts w:cs="Times New Roman"/>
          <w:color w:val="595454" w:themeColor="text1"/>
          <w:sz w:val="20"/>
          <w:szCs w:val="20"/>
        </w:rPr>
        <w:t xml:space="preserve"> the State’s obligations under human rights law.</w:t>
      </w:r>
    </w:p>
    <w:p w14:paraId="14E6A45F" w14:textId="77777777" w:rsidR="00975089" w:rsidRPr="00975089" w:rsidRDefault="00975089" w:rsidP="00975089">
      <w:pPr>
        <w:pStyle w:val="BodyText"/>
        <w:jc w:val="both"/>
        <w:rPr>
          <w:rFonts w:cs="Times New Roman"/>
          <w:color w:val="595454" w:themeColor="text1"/>
          <w:sz w:val="20"/>
          <w:szCs w:val="20"/>
          <w:lang w:val="en-US"/>
        </w:rPr>
      </w:pPr>
      <w:r w:rsidRPr="00975089">
        <w:rPr>
          <w:rFonts w:cs="Times New Roman"/>
          <w:color w:val="595454" w:themeColor="text1"/>
          <w:sz w:val="20"/>
          <w:szCs w:val="20"/>
          <w:lang w:val="en-US"/>
        </w:rPr>
        <w:t>These considerations are particularly important when it comes to differentiating between patient subgroups.  Section 5.10.10 of NICE’s Methods Guide provides:</w:t>
      </w:r>
    </w:p>
    <w:p w14:paraId="6F3C7A3F" w14:textId="77777777" w:rsidR="00975089" w:rsidRPr="00975089" w:rsidRDefault="00975089" w:rsidP="00975089">
      <w:pPr>
        <w:pStyle w:val="BodyText"/>
        <w:ind w:left="720"/>
        <w:jc w:val="both"/>
        <w:rPr>
          <w:rFonts w:cs="Times New Roman"/>
          <w:color w:val="595454" w:themeColor="text1"/>
          <w:sz w:val="20"/>
          <w:szCs w:val="20"/>
        </w:rPr>
      </w:pPr>
      <w:r w:rsidRPr="00975089">
        <w:rPr>
          <w:rFonts w:cs="Times New Roman"/>
          <w:color w:val="595454" w:themeColor="text1"/>
          <w:sz w:val="20"/>
          <w:szCs w:val="20"/>
          <w:lang w:val="en-US"/>
        </w:rPr>
        <w:t>“</w:t>
      </w:r>
      <w:r w:rsidRPr="00975089">
        <w:rPr>
          <w:rFonts w:cs="Times New Roman"/>
          <w:i/>
          <w:color w:val="595454" w:themeColor="text1"/>
          <w:sz w:val="20"/>
          <w:szCs w:val="20"/>
          <w:lang w:val="en-US"/>
        </w:rPr>
        <w:t>When considering subgroups, the Appraisal Committee pays particular attention to its legal obligations on equality and human rights.”</w:t>
      </w:r>
    </w:p>
    <w:p w14:paraId="7E2AA364" w14:textId="77777777" w:rsidR="00975089" w:rsidRPr="00975089" w:rsidRDefault="00975089" w:rsidP="00975089">
      <w:pPr>
        <w:pStyle w:val="BodyText"/>
        <w:jc w:val="both"/>
        <w:rPr>
          <w:rFonts w:cs="Times New Roman"/>
          <w:color w:val="595454" w:themeColor="text1"/>
          <w:sz w:val="20"/>
          <w:szCs w:val="20"/>
        </w:rPr>
      </w:pPr>
      <w:r w:rsidRPr="00975089" w:rsidDel="001D438F">
        <w:rPr>
          <w:rFonts w:cs="Times New Roman"/>
          <w:color w:val="595454" w:themeColor="text1"/>
          <w:sz w:val="20"/>
          <w:szCs w:val="20"/>
        </w:rPr>
        <w:t xml:space="preserve">NICE’s </w:t>
      </w:r>
      <w:r w:rsidRPr="00975089">
        <w:rPr>
          <w:rFonts w:cs="Times New Roman"/>
          <w:color w:val="595454" w:themeColor="text1"/>
          <w:sz w:val="20"/>
          <w:szCs w:val="20"/>
        </w:rPr>
        <w:t>refusal</w:t>
      </w:r>
      <w:r w:rsidRPr="00975089" w:rsidDel="001D438F">
        <w:rPr>
          <w:rFonts w:cs="Times New Roman"/>
          <w:color w:val="595454" w:themeColor="text1"/>
          <w:sz w:val="20"/>
          <w:szCs w:val="20"/>
        </w:rPr>
        <w:t xml:space="preserve"> to consider data relating to </w:t>
      </w:r>
      <w:r w:rsidRPr="00975089">
        <w:rPr>
          <w:rFonts w:cs="Times New Roman"/>
          <w:color w:val="595454" w:themeColor="text1"/>
          <w:sz w:val="20"/>
          <w:szCs w:val="20"/>
        </w:rPr>
        <w:t xml:space="preserve">PD-L1 &lt;1% </w:t>
      </w:r>
      <w:r w:rsidRPr="00975089" w:rsidDel="001D438F">
        <w:rPr>
          <w:rFonts w:cs="Times New Roman"/>
          <w:color w:val="595454" w:themeColor="text1"/>
          <w:sz w:val="20"/>
          <w:szCs w:val="20"/>
        </w:rPr>
        <w:t xml:space="preserve">patients </w:t>
      </w:r>
      <w:proofErr w:type="gramStart"/>
      <w:r w:rsidRPr="00975089" w:rsidDel="001D438F">
        <w:rPr>
          <w:rFonts w:cs="Times New Roman"/>
          <w:color w:val="595454" w:themeColor="text1"/>
          <w:sz w:val="20"/>
          <w:szCs w:val="20"/>
        </w:rPr>
        <w:t>exclude</w:t>
      </w:r>
      <w:r w:rsidRPr="00975089">
        <w:rPr>
          <w:rFonts w:cs="Times New Roman"/>
          <w:color w:val="595454" w:themeColor="text1"/>
          <w:sz w:val="20"/>
          <w:szCs w:val="20"/>
        </w:rPr>
        <w:t>s</w:t>
      </w:r>
      <w:proofErr w:type="gramEnd"/>
      <w:r w:rsidRPr="00975089" w:rsidDel="001D438F">
        <w:rPr>
          <w:rFonts w:cs="Times New Roman"/>
          <w:color w:val="595454" w:themeColor="text1"/>
          <w:sz w:val="20"/>
          <w:szCs w:val="20"/>
        </w:rPr>
        <w:t xml:space="preserve"> that sub-group from the CDF review </w:t>
      </w:r>
      <w:r w:rsidRPr="00975089">
        <w:rPr>
          <w:rFonts w:cs="Times New Roman"/>
          <w:color w:val="595454" w:themeColor="text1"/>
          <w:sz w:val="20"/>
          <w:szCs w:val="20"/>
        </w:rPr>
        <w:t>in contravention of NICE’s</w:t>
      </w:r>
      <w:r w:rsidRPr="00975089" w:rsidDel="001D438F">
        <w:rPr>
          <w:rFonts w:cs="Times New Roman"/>
          <w:color w:val="595454" w:themeColor="text1"/>
          <w:sz w:val="20"/>
          <w:szCs w:val="20"/>
        </w:rPr>
        <w:t xml:space="preserve"> human rights and equalities obligations, specifically under Articles 2 and 14 of the Convention and the Equality Act.</w:t>
      </w:r>
    </w:p>
    <w:p w14:paraId="44CB31BB" w14:textId="77777777" w:rsidR="00975089" w:rsidRPr="00975089" w:rsidRDefault="00975089" w:rsidP="00975089">
      <w:pPr>
        <w:pStyle w:val="Heading4"/>
        <w:numPr>
          <w:ilvl w:val="0"/>
          <w:numId w:val="24"/>
        </w:numPr>
        <w:jc w:val="both"/>
        <w:rPr>
          <w:rFonts w:asciiTheme="minorHAnsi" w:hAnsiTheme="minorHAnsi" w:cs="Times New Roman"/>
          <w:b/>
          <w:color w:val="595454" w:themeColor="text1"/>
          <w:sz w:val="20"/>
          <w:szCs w:val="20"/>
        </w:rPr>
      </w:pPr>
      <w:r w:rsidRPr="00975089">
        <w:rPr>
          <w:rFonts w:asciiTheme="minorHAnsi" w:hAnsiTheme="minorHAnsi" w:cs="Times New Roman"/>
          <w:b/>
          <w:color w:val="595454" w:themeColor="text1"/>
          <w:sz w:val="20"/>
          <w:szCs w:val="20"/>
        </w:rPr>
        <w:t>Article 2 of the Convention</w:t>
      </w:r>
    </w:p>
    <w:p w14:paraId="423FBD42" w14:textId="3F4E5333" w:rsidR="00975089" w:rsidRPr="00975089" w:rsidRDefault="00975089" w:rsidP="00975089">
      <w:pPr>
        <w:pStyle w:val="BodyText"/>
        <w:jc w:val="both"/>
        <w:rPr>
          <w:rFonts w:cs="Times New Roman"/>
          <w:color w:val="595454" w:themeColor="text1"/>
          <w:sz w:val="20"/>
          <w:szCs w:val="20"/>
        </w:rPr>
      </w:pPr>
      <w:r w:rsidRPr="00975089">
        <w:rPr>
          <w:rFonts w:eastAsia="Calibri" w:cs="Times New Roman"/>
          <w:color w:val="595454" w:themeColor="text1"/>
          <w:sz w:val="20"/>
          <w:szCs w:val="20"/>
        </w:rPr>
        <w:t>It is important to appreciate that metastatic NSCLC is still a largely fatal disease, despite all the recent advances in treatment.  Deaths from lung cancer still exceed those of any other malignancy worldwide.</w:t>
      </w:r>
      <w:r w:rsidRPr="00975089">
        <w:rPr>
          <w:rFonts w:eastAsia="Calibri" w:cs="Times New Roman"/>
          <w:color w:val="595454" w:themeColor="text1"/>
          <w:sz w:val="20"/>
          <w:szCs w:val="20"/>
          <w:vertAlign w:val="superscript"/>
        </w:rPr>
        <w:footnoteReference w:id="18"/>
      </w:r>
      <w:r w:rsidRPr="00975089">
        <w:rPr>
          <w:rFonts w:eastAsia="Calibri" w:cs="Times New Roman"/>
          <w:color w:val="595454" w:themeColor="text1"/>
          <w:sz w:val="20"/>
          <w:szCs w:val="20"/>
        </w:rPr>
        <w:t xml:space="preserve">  The most recent National Lung Cancer Audit, published in August 2020 (data from 2018), shows that for metastatic (stage IV) disease, the proportion of patients surviving to one year after diagnosis remains low, at 17%, and is unchanged from 2015.</w:t>
      </w:r>
      <w:r w:rsidRPr="00975089">
        <w:rPr>
          <w:rFonts w:eastAsia="Calibri" w:cs="Times New Roman"/>
          <w:color w:val="595454" w:themeColor="text1"/>
          <w:sz w:val="20"/>
          <w:szCs w:val="20"/>
          <w:vertAlign w:val="superscript"/>
        </w:rPr>
        <w:footnoteReference w:id="19"/>
      </w:r>
      <w:r w:rsidRPr="00975089">
        <w:rPr>
          <w:rFonts w:eastAsia="Calibri" w:cs="Times New Roman"/>
          <w:color w:val="595454" w:themeColor="text1"/>
          <w:sz w:val="20"/>
          <w:szCs w:val="20"/>
        </w:rPr>
        <w:t xml:space="preserve">  A recent observational study from the US found the median OS for metastatic NSCLC patients to still be &lt;1 year.</w:t>
      </w:r>
      <w:r w:rsidRPr="00975089">
        <w:rPr>
          <w:rFonts w:eastAsia="Calibri" w:cs="Times New Roman"/>
          <w:color w:val="595454" w:themeColor="text1"/>
          <w:sz w:val="20"/>
          <w:szCs w:val="20"/>
          <w:vertAlign w:val="superscript"/>
        </w:rPr>
        <w:footnoteReference w:id="20"/>
      </w:r>
      <w:r w:rsidRPr="00975089">
        <w:rPr>
          <w:rFonts w:eastAsia="Calibri" w:cs="Times New Roman"/>
          <w:color w:val="595454" w:themeColor="text1"/>
          <w:sz w:val="20"/>
          <w:szCs w:val="20"/>
        </w:rPr>
        <w:t xml:space="preserve">  In that context, a treatment that improves overall survival, even by small amounts, is invaluable to any patient who might benefit from it.</w:t>
      </w:r>
    </w:p>
    <w:p w14:paraId="224C5D27" w14:textId="0BB434E6" w:rsidR="00975089" w:rsidRPr="00975089" w:rsidRDefault="00975089" w:rsidP="00975089">
      <w:pPr>
        <w:pStyle w:val="BodyText"/>
        <w:jc w:val="both"/>
        <w:rPr>
          <w:rFonts w:cs="Times New Roman"/>
          <w:color w:val="595454" w:themeColor="text1"/>
          <w:sz w:val="20"/>
          <w:szCs w:val="20"/>
        </w:rPr>
      </w:pPr>
      <w:r w:rsidRPr="00975089">
        <w:rPr>
          <w:rFonts w:cs="Times New Roman"/>
          <w:color w:val="595454" w:themeColor="text1"/>
          <w:sz w:val="20"/>
          <w:szCs w:val="20"/>
        </w:rPr>
        <w:t>Article 2 of the Convention obliges the State to refrain from depriving persons of life intentionally.</w:t>
      </w:r>
      <w:r w:rsidRPr="00975089">
        <w:rPr>
          <w:rStyle w:val="FootnoteReference"/>
          <w:rFonts w:cs="Times New Roman"/>
          <w:color w:val="595454" w:themeColor="text1"/>
          <w:sz w:val="20"/>
          <w:szCs w:val="20"/>
        </w:rPr>
        <w:t xml:space="preserve"> </w:t>
      </w:r>
      <w:r w:rsidRPr="00975089">
        <w:rPr>
          <w:rStyle w:val="FootnoteReference"/>
          <w:rFonts w:cs="Times New Roman"/>
          <w:color w:val="595454" w:themeColor="text1"/>
          <w:sz w:val="20"/>
          <w:szCs w:val="20"/>
        </w:rPr>
        <w:footnoteReference w:id="21"/>
      </w:r>
      <w:r w:rsidRPr="00975089">
        <w:rPr>
          <w:rFonts w:cs="Times New Roman"/>
          <w:color w:val="595454" w:themeColor="text1"/>
          <w:sz w:val="20"/>
          <w:szCs w:val="20"/>
        </w:rPr>
        <w:t xml:space="preserve">  It is clear</w:t>
      </w:r>
      <w:r w:rsidR="008B765D">
        <w:rPr>
          <w:rFonts w:cs="Times New Roman"/>
          <w:color w:val="595454" w:themeColor="text1"/>
          <w:sz w:val="20"/>
          <w:szCs w:val="20"/>
        </w:rPr>
        <w:t xml:space="preserve"> from the data submitted</w:t>
      </w:r>
      <w:r w:rsidRPr="00975089">
        <w:rPr>
          <w:rFonts w:cs="Times New Roman"/>
          <w:color w:val="595454" w:themeColor="text1"/>
          <w:sz w:val="20"/>
          <w:szCs w:val="20"/>
        </w:rPr>
        <w:t xml:space="preserve"> that nivolumab is a life-extending treatment</w:t>
      </w:r>
      <w:r w:rsidR="008B765D">
        <w:rPr>
          <w:rFonts w:cs="Times New Roman"/>
          <w:color w:val="595454" w:themeColor="text1"/>
          <w:sz w:val="20"/>
          <w:szCs w:val="20"/>
        </w:rPr>
        <w:t xml:space="preserve"> in this indication</w:t>
      </w:r>
      <w:r w:rsidRPr="00975089">
        <w:rPr>
          <w:rFonts w:cs="Times New Roman"/>
          <w:color w:val="595454" w:themeColor="text1"/>
          <w:sz w:val="20"/>
          <w:szCs w:val="20"/>
        </w:rPr>
        <w:t xml:space="preserve">.  NICE has acknowledged that nivolumab meets the criteria to be considered a life-extending treatment at the end of life.  Article 2 of the Convention is therefore engaged.  </w:t>
      </w:r>
    </w:p>
    <w:p w14:paraId="669E6247" w14:textId="77777777" w:rsidR="00975089" w:rsidRPr="00975089" w:rsidRDefault="00975089" w:rsidP="00975089">
      <w:pPr>
        <w:pStyle w:val="BodyText"/>
        <w:jc w:val="both"/>
        <w:rPr>
          <w:rFonts w:cs="Times New Roman"/>
          <w:color w:val="595454" w:themeColor="text1"/>
          <w:sz w:val="20"/>
          <w:szCs w:val="20"/>
        </w:rPr>
      </w:pPr>
      <w:r w:rsidRPr="00975089">
        <w:rPr>
          <w:rFonts w:cs="Times New Roman"/>
          <w:color w:val="595454" w:themeColor="text1"/>
          <w:sz w:val="20"/>
          <w:szCs w:val="20"/>
        </w:rPr>
        <w:t xml:space="preserve">BMS recognises that public resources are finite, and that Article 2 does not impose an obligation on the State to provide unlimited resources for medical treatment.  Article 2 requires NICE to carry out a fair balancing exercise between the needs of these </w:t>
      </w:r>
      <w:proofErr w:type="gramStart"/>
      <w:r w:rsidRPr="00975089">
        <w:rPr>
          <w:rFonts w:cs="Times New Roman"/>
          <w:color w:val="595454" w:themeColor="text1"/>
          <w:sz w:val="20"/>
          <w:szCs w:val="20"/>
        </w:rPr>
        <w:t>particular patients</w:t>
      </w:r>
      <w:proofErr w:type="gramEnd"/>
      <w:r w:rsidRPr="00975089">
        <w:rPr>
          <w:rFonts w:cs="Times New Roman"/>
          <w:color w:val="595454" w:themeColor="text1"/>
          <w:sz w:val="20"/>
          <w:szCs w:val="20"/>
        </w:rPr>
        <w:t xml:space="preserve"> and the community at large.  The outcome of that balancing exercise must be reasonable.  The exercise must, above all, be a rational one that adheres closely </w:t>
      </w:r>
      <w:r w:rsidRPr="00975089">
        <w:rPr>
          <w:rFonts w:cs="Times New Roman"/>
          <w:color w:val="595454" w:themeColor="text1"/>
          <w:sz w:val="20"/>
          <w:szCs w:val="20"/>
        </w:rPr>
        <w:lastRenderedPageBreak/>
        <w:t>to a proper process.  It is well established under English public law that a proper process is one which considers all of the relevant material (and no irrelevant material) with an open mind, allowing: (</w:t>
      </w:r>
      <w:proofErr w:type="spellStart"/>
      <w:r w:rsidRPr="00975089">
        <w:rPr>
          <w:rFonts w:cs="Times New Roman"/>
          <w:color w:val="595454" w:themeColor="text1"/>
          <w:sz w:val="20"/>
          <w:szCs w:val="20"/>
        </w:rPr>
        <w:t>i</w:t>
      </w:r>
      <w:proofErr w:type="spellEnd"/>
      <w:r w:rsidRPr="00975089">
        <w:rPr>
          <w:rFonts w:cs="Times New Roman"/>
          <w:color w:val="595454" w:themeColor="text1"/>
          <w:sz w:val="20"/>
          <w:szCs w:val="20"/>
        </w:rPr>
        <w:t xml:space="preserve">) proper engagement with stakeholders as the process requires; and (ii) sufficient time for consideration and discussion before a decision is reached. </w:t>
      </w:r>
    </w:p>
    <w:p w14:paraId="652D3813" w14:textId="7533D9B2" w:rsidR="00975089" w:rsidRPr="00975089" w:rsidRDefault="00975089" w:rsidP="00975089">
      <w:pPr>
        <w:pStyle w:val="BodyText"/>
        <w:jc w:val="both"/>
        <w:rPr>
          <w:rFonts w:cs="Times New Roman"/>
          <w:color w:val="595454" w:themeColor="text1"/>
          <w:sz w:val="20"/>
          <w:szCs w:val="20"/>
        </w:rPr>
      </w:pPr>
      <w:r w:rsidRPr="00975089">
        <w:rPr>
          <w:rFonts w:cs="Times New Roman"/>
          <w:color w:val="595454" w:themeColor="text1"/>
          <w:sz w:val="20"/>
          <w:szCs w:val="20"/>
        </w:rPr>
        <w:t>It is evident from BMS’ submissions under Grounds 1(a) and 2 that NICE has failed to carry out a fair, rational, reasonable and procedurally correct balancing exercise.  Specifically, NICE has: (</w:t>
      </w:r>
      <w:proofErr w:type="spellStart"/>
      <w:r w:rsidRPr="00975089">
        <w:rPr>
          <w:rFonts w:cs="Times New Roman"/>
          <w:color w:val="595454" w:themeColor="text1"/>
          <w:sz w:val="20"/>
          <w:szCs w:val="20"/>
        </w:rPr>
        <w:t>i</w:t>
      </w:r>
      <w:proofErr w:type="spellEnd"/>
      <w:r w:rsidRPr="00975089">
        <w:rPr>
          <w:rFonts w:cs="Times New Roman"/>
          <w:color w:val="595454" w:themeColor="text1"/>
          <w:sz w:val="20"/>
          <w:szCs w:val="20"/>
        </w:rPr>
        <w:t>) not taken relevant material into account; (ii) not had an open mind with respect to the totality of the data; (iii) adhered to a tenuous and incorrect interpretation of the Methods Guide; (iv) applied that interpretation retrospectively, without justification, in contradiction to BMS’s legitimate expectations; and (v) failed to give adequate reasons for this approach.  Yet, the most egregious breach of Article 2 results from NICE’s steadfast refusal to consider the evidence that nivolumab</w:t>
      </w:r>
      <w:r w:rsidR="008B765D">
        <w:rPr>
          <w:rFonts w:cs="Times New Roman"/>
          <w:color w:val="595454" w:themeColor="text1"/>
          <w:sz w:val="20"/>
          <w:szCs w:val="20"/>
        </w:rPr>
        <w:t xml:space="preserve"> improves overall survival for</w:t>
      </w:r>
      <w:r w:rsidRPr="00975089">
        <w:rPr>
          <w:rFonts w:cs="Times New Roman"/>
          <w:color w:val="595454" w:themeColor="text1"/>
          <w:sz w:val="20"/>
          <w:szCs w:val="20"/>
        </w:rPr>
        <w:t xml:space="preserve"> PD-L1 &lt;1% patients, notwithstanding that those patients are clearly within nivolumab’s approved indications (</w:t>
      </w:r>
      <w:r w:rsidRPr="00975089">
        <w:rPr>
          <w:rFonts w:cs="Times New Roman"/>
          <w:i/>
          <w:color w:val="595454" w:themeColor="text1"/>
          <w:sz w:val="20"/>
          <w:szCs w:val="20"/>
        </w:rPr>
        <w:t>see</w:t>
      </w:r>
      <w:r w:rsidRPr="00975089">
        <w:rPr>
          <w:rFonts w:cs="Times New Roman"/>
          <w:color w:val="595454" w:themeColor="text1"/>
          <w:sz w:val="20"/>
          <w:szCs w:val="20"/>
        </w:rPr>
        <w:t xml:space="preserve"> FAD para. 2.1), in scope and, as the FAD acknowledges, the CDF review does not affect this.  </w:t>
      </w:r>
    </w:p>
    <w:p w14:paraId="12CD1B87" w14:textId="77777777" w:rsidR="00975089" w:rsidRPr="00975089" w:rsidRDefault="00975089" w:rsidP="00975089">
      <w:pPr>
        <w:pStyle w:val="BodyText"/>
        <w:jc w:val="both"/>
        <w:rPr>
          <w:rFonts w:cs="Times New Roman"/>
          <w:color w:val="595454" w:themeColor="text1"/>
          <w:sz w:val="20"/>
          <w:szCs w:val="20"/>
        </w:rPr>
      </w:pPr>
      <w:r w:rsidRPr="00975089">
        <w:rPr>
          <w:rFonts w:cs="Times New Roman"/>
          <w:color w:val="595454" w:themeColor="text1"/>
          <w:sz w:val="20"/>
          <w:szCs w:val="20"/>
        </w:rPr>
        <w:t xml:space="preserve">The result of NICE’s failure to consider the evidence or conduct a fair balancing exercise, is that the needs and rights of the PD-L1 &lt;1% patients have simply not been </w:t>
      </w:r>
      <w:proofErr w:type="gramStart"/>
      <w:r w:rsidRPr="00975089">
        <w:rPr>
          <w:rFonts w:cs="Times New Roman"/>
          <w:color w:val="595454" w:themeColor="text1"/>
          <w:sz w:val="20"/>
          <w:szCs w:val="20"/>
        </w:rPr>
        <w:t>taken into account</w:t>
      </w:r>
      <w:proofErr w:type="gramEnd"/>
      <w:r w:rsidRPr="00975089">
        <w:rPr>
          <w:rFonts w:cs="Times New Roman"/>
          <w:color w:val="595454" w:themeColor="text1"/>
          <w:sz w:val="20"/>
          <w:szCs w:val="20"/>
        </w:rPr>
        <w:t xml:space="preserve"> in this appraisal.  That is unreasonable and unfair, as set out in the other Grounds.  However, there is a particular and material significance for Article 2: namely that the effect of narrowing the review to PD-L1 positive patients is to deprive PD-L1 &lt;1% patients of their right to life.  The </w:t>
      </w:r>
      <w:proofErr w:type="gramStart"/>
      <w:r w:rsidRPr="00975089">
        <w:rPr>
          <w:rFonts w:cs="Times New Roman"/>
          <w:color w:val="595454" w:themeColor="text1"/>
          <w:sz w:val="20"/>
          <w:szCs w:val="20"/>
        </w:rPr>
        <w:t>particular mischief</w:t>
      </w:r>
      <w:proofErr w:type="gramEnd"/>
      <w:r w:rsidRPr="00975089">
        <w:rPr>
          <w:rFonts w:cs="Times New Roman"/>
          <w:color w:val="595454" w:themeColor="text1"/>
          <w:sz w:val="20"/>
          <w:szCs w:val="20"/>
        </w:rPr>
        <w:t xml:space="preserve"> is the change of approach mid-way through the review.  Article 2 is breached not only because the process is unsound and unfair but also because of the </w:t>
      </w:r>
      <w:r w:rsidRPr="00975089">
        <w:rPr>
          <w:rFonts w:cs="Times New Roman"/>
          <w:i/>
          <w:color w:val="595454" w:themeColor="text1"/>
          <w:sz w:val="20"/>
          <w:szCs w:val="20"/>
        </w:rPr>
        <w:t>way</w:t>
      </w:r>
      <w:r w:rsidRPr="00975089">
        <w:rPr>
          <w:rFonts w:cs="Times New Roman"/>
          <w:color w:val="595454" w:themeColor="text1"/>
          <w:sz w:val="20"/>
          <w:szCs w:val="20"/>
        </w:rPr>
        <w:t xml:space="preserve"> in which patients, who have a right to life, are left disenfranchised (</w:t>
      </w:r>
      <w:r w:rsidRPr="00975089">
        <w:rPr>
          <w:rFonts w:cs="Times New Roman"/>
          <w:i/>
          <w:color w:val="595454" w:themeColor="text1"/>
          <w:sz w:val="20"/>
          <w:szCs w:val="20"/>
        </w:rPr>
        <w:t>i.e.</w:t>
      </w:r>
      <w:r w:rsidRPr="00975089">
        <w:rPr>
          <w:rFonts w:cs="Times New Roman"/>
          <w:color w:val="595454" w:themeColor="text1"/>
          <w:sz w:val="20"/>
          <w:szCs w:val="20"/>
        </w:rPr>
        <w:t xml:space="preserve">, even if there were hypothetically a procedural basis for this).  </w:t>
      </w:r>
    </w:p>
    <w:p w14:paraId="61A5CFB9" w14:textId="77777777" w:rsidR="00975089" w:rsidRPr="00975089" w:rsidRDefault="00975089" w:rsidP="00975089">
      <w:pPr>
        <w:pStyle w:val="Heading4"/>
        <w:jc w:val="both"/>
        <w:rPr>
          <w:rFonts w:asciiTheme="minorHAnsi" w:hAnsiTheme="minorHAnsi" w:cs="Times New Roman"/>
          <w:color w:val="595454" w:themeColor="text1"/>
          <w:sz w:val="20"/>
          <w:szCs w:val="20"/>
        </w:rPr>
      </w:pPr>
      <w:r w:rsidRPr="00975089">
        <w:rPr>
          <w:rFonts w:asciiTheme="minorHAnsi" w:hAnsiTheme="minorHAnsi" w:cs="Times New Roman"/>
          <w:b/>
          <w:color w:val="595454" w:themeColor="text1"/>
          <w:sz w:val="20"/>
          <w:szCs w:val="20"/>
        </w:rPr>
        <w:t>Article 14 of the Convention</w:t>
      </w:r>
    </w:p>
    <w:p w14:paraId="311EE990" w14:textId="77777777" w:rsidR="00975089" w:rsidRPr="00975089" w:rsidRDefault="00975089" w:rsidP="00975089">
      <w:pPr>
        <w:pStyle w:val="BodyText"/>
        <w:jc w:val="both"/>
        <w:rPr>
          <w:rFonts w:cs="Times New Roman"/>
          <w:color w:val="595454" w:themeColor="text1"/>
          <w:sz w:val="20"/>
          <w:szCs w:val="20"/>
        </w:rPr>
      </w:pPr>
      <w:r w:rsidRPr="00975089">
        <w:rPr>
          <w:rFonts w:cs="Times New Roman"/>
          <w:color w:val="595454" w:themeColor="text1"/>
          <w:sz w:val="20"/>
          <w:szCs w:val="20"/>
        </w:rPr>
        <w:t>Article 14 prohibits discrimination in the enjoyment of other Convention rights.  Accordingly, for Article 14 to be engaged, one of the other Convention rights must be applicable (although not necessarily infringed).  For the reasons set out above, Article 2 is engaged such that Article 14 applies.  Where a public body, such as NICE</w:t>
      </w:r>
      <w:proofErr w:type="gramStart"/>
      <w:r w:rsidRPr="00975089">
        <w:rPr>
          <w:rFonts w:cs="Times New Roman"/>
          <w:color w:val="595454" w:themeColor="text1"/>
          <w:sz w:val="20"/>
          <w:szCs w:val="20"/>
        </w:rPr>
        <w:t>, is providing a public service, it</w:t>
      </w:r>
      <w:proofErr w:type="gramEnd"/>
      <w:r w:rsidRPr="00975089">
        <w:rPr>
          <w:rFonts w:cs="Times New Roman"/>
          <w:color w:val="595454" w:themeColor="text1"/>
          <w:sz w:val="20"/>
          <w:szCs w:val="20"/>
        </w:rPr>
        <w:t xml:space="preserve"> is bound by Article 14 to ensure that it does so in a non-discriminatory fashion.</w:t>
      </w:r>
      <w:r w:rsidRPr="00975089">
        <w:rPr>
          <w:rFonts w:cs="Times New Roman"/>
          <w:color w:val="595454" w:themeColor="text1"/>
          <w:sz w:val="20"/>
          <w:szCs w:val="20"/>
          <w:vertAlign w:val="superscript"/>
        </w:rPr>
        <w:footnoteReference w:id="22"/>
      </w:r>
      <w:r w:rsidRPr="00975089">
        <w:rPr>
          <w:rFonts w:cs="Times New Roman"/>
          <w:color w:val="595454" w:themeColor="text1"/>
          <w:sz w:val="20"/>
          <w:szCs w:val="20"/>
        </w:rPr>
        <w:t xml:space="preserve">  Specifically, Article 14 states:</w:t>
      </w:r>
    </w:p>
    <w:p w14:paraId="09F30EBC" w14:textId="77777777" w:rsidR="00975089" w:rsidRPr="00975089" w:rsidRDefault="00975089" w:rsidP="00975089">
      <w:pPr>
        <w:pStyle w:val="BodyText"/>
        <w:ind w:left="720"/>
        <w:jc w:val="both"/>
        <w:rPr>
          <w:rFonts w:cs="Times New Roman"/>
          <w:color w:val="595454" w:themeColor="text1"/>
          <w:sz w:val="20"/>
          <w:szCs w:val="20"/>
        </w:rPr>
      </w:pPr>
      <w:r w:rsidRPr="00975089">
        <w:rPr>
          <w:rFonts w:cs="Times New Roman"/>
          <w:color w:val="595454" w:themeColor="text1"/>
          <w:sz w:val="20"/>
          <w:szCs w:val="20"/>
        </w:rPr>
        <w:t>“</w:t>
      </w:r>
      <w:r w:rsidRPr="00975089">
        <w:rPr>
          <w:rFonts w:cs="Times New Roman"/>
          <w:i/>
          <w:color w:val="595454" w:themeColor="text1"/>
          <w:sz w:val="20"/>
          <w:szCs w:val="20"/>
        </w:rPr>
        <w:t>The enjoyment of the rights and freedoms set forth in this European Convention on Human Rights</w:t>
      </w:r>
      <w:r w:rsidRPr="00975089">
        <w:rPr>
          <w:rFonts w:cs="Times New Roman"/>
          <w:b/>
          <w:i/>
          <w:color w:val="595454" w:themeColor="text1"/>
          <w:sz w:val="20"/>
          <w:szCs w:val="20"/>
        </w:rPr>
        <w:t xml:space="preserve"> shall be secured without discrimination on any ground</w:t>
      </w:r>
      <w:r w:rsidRPr="00975089">
        <w:rPr>
          <w:rFonts w:cs="Times New Roman"/>
          <w:i/>
          <w:color w:val="595454" w:themeColor="text1"/>
          <w:sz w:val="20"/>
          <w:szCs w:val="20"/>
        </w:rPr>
        <w:t xml:space="preserve"> such as sex, race, colour, language, religion, political or other opinion, national or social origin, association with a national minority, property, birth </w:t>
      </w:r>
      <w:r w:rsidRPr="00975089">
        <w:rPr>
          <w:rFonts w:cs="Times New Roman"/>
          <w:b/>
          <w:i/>
          <w:color w:val="595454" w:themeColor="text1"/>
          <w:sz w:val="20"/>
          <w:szCs w:val="20"/>
        </w:rPr>
        <w:t>or other status</w:t>
      </w:r>
      <w:r w:rsidRPr="00975089">
        <w:rPr>
          <w:rFonts w:cs="Times New Roman"/>
          <w:color w:val="595454" w:themeColor="text1"/>
          <w:sz w:val="20"/>
          <w:szCs w:val="20"/>
        </w:rPr>
        <w:t>” (emphasis added).</w:t>
      </w:r>
    </w:p>
    <w:p w14:paraId="4C88F878" w14:textId="7D6E6C8C" w:rsidR="00975089" w:rsidRPr="00975089" w:rsidRDefault="00975089" w:rsidP="00975089">
      <w:pPr>
        <w:pStyle w:val="BodyText"/>
        <w:jc w:val="both"/>
        <w:rPr>
          <w:rFonts w:cs="Times New Roman"/>
          <w:color w:val="595454" w:themeColor="text1"/>
          <w:sz w:val="20"/>
          <w:szCs w:val="20"/>
        </w:rPr>
      </w:pPr>
      <w:r w:rsidRPr="00975089">
        <w:rPr>
          <w:rFonts w:cs="Times New Roman"/>
          <w:color w:val="595454" w:themeColor="text1"/>
          <w:sz w:val="20"/>
          <w:szCs w:val="20"/>
        </w:rPr>
        <w:t xml:space="preserve">In the present case, a sub-group of patients has been denied the possibility to access </w:t>
      </w:r>
      <w:r w:rsidR="000216CA">
        <w:rPr>
          <w:rFonts w:cs="Times New Roman"/>
          <w:color w:val="595454" w:themeColor="text1"/>
          <w:sz w:val="20"/>
          <w:szCs w:val="20"/>
        </w:rPr>
        <w:t xml:space="preserve">a </w:t>
      </w:r>
      <w:r w:rsidRPr="00975089">
        <w:rPr>
          <w:rFonts w:cs="Times New Roman"/>
          <w:color w:val="595454" w:themeColor="text1"/>
          <w:sz w:val="20"/>
          <w:szCs w:val="20"/>
        </w:rPr>
        <w:t>life-extending treatment because of its PD-L1 status.  Such differential treatment falls within the ambit of Article 14.</w:t>
      </w:r>
    </w:p>
    <w:p w14:paraId="3DB0F9F2" w14:textId="77777777" w:rsidR="00975089" w:rsidRPr="00975089" w:rsidRDefault="00975089" w:rsidP="00975089">
      <w:pPr>
        <w:pStyle w:val="BodyText"/>
        <w:jc w:val="both"/>
        <w:rPr>
          <w:rFonts w:cs="Times New Roman"/>
          <w:color w:val="595454" w:themeColor="text1"/>
          <w:sz w:val="20"/>
          <w:szCs w:val="20"/>
        </w:rPr>
      </w:pPr>
      <w:r w:rsidRPr="00975089">
        <w:rPr>
          <w:rFonts w:cs="Times New Roman"/>
          <w:color w:val="595454" w:themeColor="text1"/>
          <w:sz w:val="20"/>
          <w:szCs w:val="20"/>
        </w:rPr>
        <w:t xml:space="preserve">BMS acknowledges that whenever a treatment is recommended for one sub-group but not another, certain patients will inevitably be disadvantaged.  In such circumstances, </w:t>
      </w:r>
      <w:r w:rsidRPr="00975089">
        <w:rPr>
          <w:rFonts w:cs="Times New Roman"/>
          <w:color w:val="595454" w:themeColor="text1"/>
          <w:sz w:val="20"/>
          <w:szCs w:val="20"/>
        </w:rPr>
        <w:lastRenderedPageBreak/>
        <w:t>a breach of Article 14 is established if NICE’s approach was “</w:t>
      </w:r>
      <w:r w:rsidRPr="00975089">
        <w:rPr>
          <w:rFonts w:cs="Times New Roman"/>
          <w:i/>
          <w:color w:val="595454" w:themeColor="text1"/>
          <w:sz w:val="20"/>
          <w:szCs w:val="20"/>
        </w:rPr>
        <w:t>manifestly without reasonable foundation</w:t>
      </w:r>
      <w:r w:rsidRPr="00975089">
        <w:rPr>
          <w:rFonts w:cs="Times New Roman"/>
          <w:color w:val="595454" w:themeColor="text1"/>
          <w:sz w:val="20"/>
          <w:szCs w:val="20"/>
        </w:rPr>
        <w:t>.”</w:t>
      </w:r>
      <w:r w:rsidRPr="00975089">
        <w:rPr>
          <w:rStyle w:val="FootnoteReference"/>
          <w:rFonts w:cs="Times New Roman"/>
          <w:color w:val="595454" w:themeColor="text1"/>
          <w:sz w:val="20"/>
          <w:szCs w:val="20"/>
        </w:rPr>
        <w:footnoteReference w:id="23"/>
      </w:r>
      <w:r w:rsidRPr="00975089">
        <w:rPr>
          <w:rFonts w:cs="Times New Roman"/>
          <w:color w:val="595454" w:themeColor="text1"/>
          <w:sz w:val="20"/>
          <w:szCs w:val="20"/>
        </w:rPr>
        <w:t xml:space="preserve">  As set out at Grounds 1(a) and 2, not only is there no reasonable foundation for the approach NICE has taken, but the approach is also inconsistent with its own Methods Guide.  The approach is procedurally unsound and fails to consider relevant evidence.  The approach, therefore, breaches Article 14.</w:t>
      </w:r>
    </w:p>
    <w:p w14:paraId="49719766" w14:textId="77777777" w:rsidR="00975089" w:rsidRPr="00975089" w:rsidRDefault="00975089" w:rsidP="00975089">
      <w:pPr>
        <w:pStyle w:val="Heading4"/>
        <w:jc w:val="both"/>
        <w:rPr>
          <w:rFonts w:asciiTheme="minorHAnsi" w:hAnsiTheme="minorHAnsi" w:cs="Times New Roman"/>
          <w:b/>
          <w:color w:val="595454" w:themeColor="text1"/>
          <w:sz w:val="20"/>
          <w:szCs w:val="20"/>
        </w:rPr>
      </w:pPr>
      <w:r w:rsidRPr="00975089">
        <w:rPr>
          <w:rFonts w:asciiTheme="minorHAnsi" w:hAnsiTheme="minorHAnsi" w:cs="Times New Roman"/>
          <w:b/>
          <w:color w:val="595454" w:themeColor="text1"/>
          <w:sz w:val="20"/>
          <w:szCs w:val="20"/>
        </w:rPr>
        <w:t>Section 149 of the Equality Act</w:t>
      </w:r>
    </w:p>
    <w:p w14:paraId="25C9FFC5" w14:textId="77777777" w:rsidR="00975089" w:rsidRPr="00975089" w:rsidRDefault="00975089" w:rsidP="00975089">
      <w:pPr>
        <w:pStyle w:val="BodyText"/>
        <w:contextualSpacing/>
        <w:jc w:val="both"/>
        <w:rPr>
          <w:rFonts w:cs="Times New Roman"/>
          <w:color w:val="595454" w:themeColor="text1"/>
          <w:sz w:val="20"/>
          <w:szCs w:val="20"/>
        </w:rPr>
      </w:pPr>
      <w:r w:rsidRPr="00975089">
        <w:rPr>
          <w:rFonts w:cs="Times New Roman"/>
          <w:color w:val="595454" w:themeColor="text1"/>
          <w:sz w:val="20"/>
          <w:szCs w:val="20"/>
        </w:rPr>
        <w:t>The Public Sector Equality Duty (“PSED”) set out under Section 149 of the Equality Act requires NICE to give due regard to eliminating discrimination or victimisation and advancing equality of opportunity between persons who share a relevant protected characteristic and those who do not.  “Relevant protected characteristics” include a person’s age and any disabilities, including a cancer-diagnosis.</w:t>
      </w:r>
    </w:p>
    <w:p w14:paraId="5165E8A1" w14:textId="77777777" w:rsidR="00975089" w:rsidRPr="00975089" w:rsidRDefault="00975089" w:rsidP="00975089">
      <w:pPr>
        <w:pStyle w:val="BodyText"/>
        <w:contextualSpacing/>
        <w:jc w:val="both"/>
        <w:rPr>
          <w:rFonts w:cs="Times New Roman"/>
          <w:color w:val="595454" w:themeColor="text1"/>
          <w:sz w:val="20"/>
          <w:szCs w:val="20"/>
        </w:rPr>
      </w:pPr>
    </w:p>
    <w:p w14:paraId="4D9A4DF1" w14:textId="77777777" w:rsidR="00975089" w:rsidRPr="00975089" w:rsidRDefault="00975089" w:rsidP="00975089">
      <w:pPr>
        <w:pStyle w:val="BodyText"/>
        <w:contextualSpacing/>
        <w:jc w:val="both"/>
        <w:rPr>
          <w:rFonts w:cs="Times New Roman"/>
          <w:color w:val="595454" w:themeColor="text1"/>
          <w:sz w:val="20"/>
          <w:szCs w:val="20"/>
        </w:rPr>
      </w:pPr>
      <w:r w:rsidRPr="00975089">
        <w:rPr>
          <w:rFonts w:cs="Times New Roman"/>
          <w:color w:val="595454" w:themeColor="text1"/>
          <w:sz w:val="20"/>
          <w:szCs w:val="20"/>
        </w:rPr>
        <w:t>Courts have emphasised that the PSED can be breached by conducting a procedure in a prejudicial or improper manner.  The need to have “</w:t>
      </w:r>
      <w:r w:rsidRPr="00975089">
        <w:rPr>
          <w:rFonts w:cs="Times New Roman"/>
          <w:i/>
          <w:color w:val="595454" w:themeColor="text1"/>
          <w:sz w:val="20"/>
          <w:szCs w:val="20"/>
        </w:rPr>
        <w:t>due regard</w:t>
      </w:r>
      <w:r w:rsidRPr="00975089">
        <w:rPr>
          <w:rFonts w:cs="Times New Roman"/>
          <w:color w:val="595454" w:themeColor="text1"/>
          <w:sz w:val="20"/>
          <w:szCs w:val="20"/>
        </w:rPr>
        <w:t>” to the protected characteristics of people affected by a decision “</w:t>
      </w:r>
      <w:r w:rsidRPr="00975089">
        <w:rPr>
          <w:rFonts w:cs="Times New Roman"/>
          <w:i/>
          <w:color w:val="595454" w:themeColor="text1"/>
          <w:sz w:val="20"/>
          <w:szCs w:val="20"/>
        </w:rPr>
        <w:t>requires</w:t>
      </w:r>
      <w:r w:rsidRPr="00975089">
        <w:rPr>
          <w:rFonts w:cs="Times New Roman"/>
          <w:color w:val="595454" w:themeColor="text1"/>
          <w:sz w:val="20"/>
          <w:szCs w:val="20"/>
        </w:rPr>
        <w:t xml:space="preserve"> </w:t>
      </w:r>
      <w:r w:rsidRPr="00975089">
        <w:rPr>
          <w:rFonts w:cs="Times New Roman"/>
          <w:i/>
          <w:color w:val="595454" w:themeColor="text1"/>
          <w:sz w:val="20"/>
          <w:szCs w:val="20"/>
        </w:rPr>
        <w:t>more than simply giving consideration to the issue, but awareness of the special duties the decision-maker</w:t>
      </w:r>
      <w:r w:rsidRPr="00975089">
        <w:rPr>
          <w:rFonts w:cs="Times New Roman"/>
          <w:color w:val="595454" w:themeColor="text1"/>
          <w:sz w:val="20"/>
          <w:szCs w:val="20"/>
        </w:rPr>
        <w:t xml:space="preserve"> </w:t>
      </w:r>
      <w:r w:rsidRPr="00975089">
        <w:rPr>
          <w:rFonts w:cs="Times New Roman"/>
          <w:i/>
          <w:color w:val="595454" w:themeColor="text1"/>
          <w:sz w:val="20"/>
          <w:szCs w:val="20"/>
        </w:rPr>
        <w:t>owes in this context.”</w:t>
      </w:r>
      <w:r w:rsidRPr="00975089">
        <w:rPr>
          <w:rStyle w:val="FootnoteReference"/>
          <w:rFonts w:cs="Times New Roman"/>
          <w:i/>
          <w:color w:val="595454" w:themeColor="text1"/>
          <w:sz w:val="20"/>
          <w:szCs w:val="20"/>
        </w:rPr>
        <w:footnoteReference w:id="24"/>
      </w:r>
      <w:r w:rsidRPr="00975089">
        <w:rPr>
          <w:rFonts w:cs="Times New Roman"/>
          <w:color w:val="595454" w:themeColor="text1"/>
          <w:sz w:val="20"/>
          <w:szCs w:val="20"/>
        </w:rPr>
        <w:t xml:space="preserve">  The</w:t>
      </w:r>
      <w:r w:rsidRPr="00975089">
        <w:rPr>
          <w:rFonts w:cs="Times New Roman"/>
          <w:i/>
          <w:color w:val="595454" w:themeColor="text1"/>
          <w:sz w:val="20"/>
          <w:szCs w:val="20"/>
        </w:rPr>
        <w:t xml:space="preserve"> </w:t>
      </w:r>
      <w:r w:rsidRPr="00975089">
        <w:rPr>
          <w:rFonts w:cs="Times New Roman"/>
          <w:color w:val="595454" w:themeColor="text1"/>
          <w:sz w:val="20"/>
          <w:szCs w:val="20"/>
        </w:rPr>
        <w:t>PSED is breached</w:t>
      </w:r>
      <w:r w:rsidRPr="00975089">
        <w:rPr>
          <w:rFonts w:cs="Times New Roman"/>
          <w:i/>
          <w:color w:val="595454" w:themeColor="text1"/>
          <w:sz w:val="20"/>
          <w:szCs w:val="20"/>
        </w:rPr>
        <w:t xml:space="preserve"> </w:t>
      </w:r>
      <w:r w:rsidRPr="00975089">
        <w:rPr>
          <w:rFonts w:cs="Times New Roman"/>
          <w:color w:val="595454" w:themeColor="text1"/>
          <w:sz w:val="20"/>
          <w:szCs w:val="20"/>
        </w:rPr>
        <w:t>if the decision-maker has failed to meet the expectations of “</w:t>
      </w:r>
      <w:r w:rsidRPr="00975089">
        <w:rPr>
          <w:rFonts w:cs="Times New Roman"/>
          <w:i/>
          <w:color w:val="595454" w:themeColor="text1"/>
          <w:sz w:val="20"/>
          <w:szCs w:val="20"/>
        </w:rPr>
        <w:t>a reasonable public authority in the circumstances</w:t>
      </w:r>
      <w:r w:rsidRPr="00975089">
        <w:rPr>
          <w:rFonts w:cs="Times New Roman"/>
          <w:color w:val="595454" w:themeColor="text1"/>
          <w:sz w:val="20"/>
          <w:szCs w:val="20"/>
        </w:rPr>
        <w:t>.”</w:t>
      </w:r>
      <w:r w:rsidRPr="00975089">
        <w:rPr>
          <w:rStyle w:val="FootnoteReference"/>
          <w:rFonts w:cs="Times New Roman"/>
          <w:color w:val="595454" w:themeColor="text1"/>
          <w:sz w:val="20"/>
          <w:szCs w:val="20"/>
        </w:rPr>
        <w:footnoteReference w:id="25"/>
      </w:r>
    </w:p>
    <w:p w14:paraId="33ACEE25" w14:textId="77777777" w:rsidR="00975089" w:rsidRPr="00975089" w:rsidRDefault="00975089" w:rsidP="00975089">
      <w:pPr>
        <w:pStyle w:val="BodyText"/>
        <w:contextualSpacing/>
        <w:jc w:val="both"/>
        <w:rPr>
          <w:rFonts w:cs="Times New Roman"/>
          <w:color w:val="595454" w:themeColor="text1"/>
          <w:sz w:val="20"/>
          <w:szCs w:val="20"/>
        </w:rPr>
      </w:pPr>
    </w:p>
    <w:p w14:paraId="0C38C1E2" w14:textId="5269D35C" w:rsidR="00975089" w:rsidRPr="00975089" w:rsidRDefault="00975089" w:rsidP="00975089">
      <w:pPr>
        <w:pStyle w:val="BodyText"/>
        <w:contextualSpacing/>
        <w:jc w:val="both"/>
        <w:rPr>
          <w:rFonts w:cs="Times New Roman"/>
          <w:color w:val="595454" w:themeColor="text1"/>
          <w:sz w:val="20"/>
          <w:szCs w:val="20"/>
        </w:rPr>
      </w:pPr>
      <w:r w:rsidRPr="00975089">
        <w:rPr>
          <w:rFonts w:cs="Times New Roman"/>
          <w:color w:val="595454" w:themeColor="text1"/>
          <w:sz w:val="20"/>
          <w:szCs w:val="20"/>
        </w:rPr>
        <w:t xml:space="preserve">BMS submits that NICE’s approach discriminates against a sub-group of patients with protected characteristics.  By refusing even to consider the relevant data, NICE has not only failed to </w:t>
      </w:r>
      <w:proofErr w:type="gramStart"/>
      <w:r w:rsidRPr="00975089">
        <w:rPr>
          <w:rFonts w:cs="Times New Roman"/>
          <w:color w:val="595454" w:themeColor="text1"/>
          <w:sz w:val="20"/>
          <w:szCs w:val="20"/>
        </w:rPr>
        <w:t>take into account</w:t>
      </w:r>
      <w:proofErr w:type="gramEnd"/>
      <w:r w:rsidRPr="00975089">
        <w:rPr>
          <w:rFonts w:cs="Times New Roman"/>
          <w:color w:val="595454" w:themeColor="text1"/>
          <w:sz w:val="20"/>
          <w:szCs w:val="20"/>
        </w:rPr>
        <w:t xml:space="preserve"> the special duties it owes to </w:t>
      </w:r>
      <w:r w:rsidR="0022276F">
        <w:rPr>
          <w:rFonts w:cs="Times New Roman"/>
          <w:color w:val="595454" w:themeColor="text1"/>
          <w:sz w:val="20"/>
          <w:szCs w:val="20"/>
        </w:rPr>
        <w:t>PD-L1 &lt;1% patients</w:t>
      </w:r>
      <w:r w:rsidRPr="00975089">
        <w:rPr>
          <w:rFonts w:cs="Times New Roman"/>
          <w:color w:val="595454" w:themeColor="text1"/>
          <w:sz w:val="20"/>
          <w:szCs w:val="20"/>
        </w:rPr>
        <w:t>; it has simply ignored them.  In doing so, it has denied a beneficial treatment to that sub-group on account of their PD-L1 status, notwithstanding the fact that nivolumab is proven to be clinically effective for those patients.  Such discriminatory treatment clearly falls short of what is to be expected of a reasonable public authority in the circumstances.</w:t>
      </w:r>
    </w:p>
    <w:p w14:paraId="7872B6AB" w14:textId="77777777" w:rsidR="00975089" w:rsidRPr="00975089" w:rsidRDefault="00975089" w:rsidP="00975089">
      <w:pPr>
        <w:pStyle w:val="Heading4"/>
        <w:jc w:val="both"/>
        <w:rPr>
          <w:rFonts w:asciiTheme="minorHAnsi" w:hAnsiTheme="minorHAnsi" w:cs="Times New Roman"/>
          <w:b/>
          <w:color w:val="595454" w:themeColor="text1"/>
          <w:sz w:val="20"/>
          <w:szCs w:val="20"/>
        </w:rPr>
      </w:pPr>
      <w:r w:rsidRPr="00975089">
        <w:rPr>
          <w:rFonts w:asciiTheme="minorHAnsi" w:hAnsiTheme="minorHAnsi" w:cs="Times New Roman"/>
          <w:b/>
          <w:color w:val="595454" w:themeColor="text1"/>
          <w:sz w:val="20"/>
          <w:szCs w:val="20"/>
        </w:rPr>
        <w:t>Section 29 of the Equality Act</w:t>
      </w:r>
    </w:p>
    <w:p w14:paraId="63D6A778" w14:textId="77777777" w:rsidR="00975089" w:rsidRPr="00975089" w:rsidRDefault="00975089" w:rsidP="00975089">
      <w:pPr>
        <w:pStyle w:val="BodyText"/>
        <w:contextualSpacing/>
        <w:jc w:val="both"/>
        <w:rPr>
          <w:rFonts w:cs="Times New Roman"/>
          <w:color w:val="595454" w:themeColor="text1"/>
          <w:sz w:val="20"/>
          <w:szCs w:val="20"/>
        </w:rPr>
      </w:pPr>
      <w:r w:rsidRPr="00975089">
        <w:rPr>
          <w:rFonts w:cs="Times New Roman"/>
          <w:color w:val="595454" w:themeColor="text1"/>
          <w:sz w:val="20"/>
          <w:szCs w:val="20"/>
        </w:rPr>
        <w:t>Section 29(6) applies to NICE and prohibits discrimination in the provision of a public service.  Under Section 29(7), NICE must make reasonable adjustments in its processes to take account of the protected characteristics of the patient population.</w:t>
      </w:r>
    </w:p>
    <w:p w14:paraId="3CE38F6B" w14:textId="77777777" w:rsidR="00975089" w:rsidRPr="00975089" w:rsidRDefault="00975089" w:rsidP="00975089">
      <w:pPr>
        <w:pStyle w:val="BodyText"/>
        <w:contextualSpacing/>
        <w:jc w:val="both"/>
        <w:rPr>
          <w:rFonts w:cs="Times New Roman"/>
          <w:color w:val="595454" w:themeColor="text1"/>
          <w:sz w:val="20"/>
          <w:szCs w:val="20"/>
        </w:rPr>
      </w:pPr>
    </w:p>
    <w:p w14:paraId="0101DA23" w14:textId="5F3AD50A" w:rsidR="00975089" w:rsidRPr="00975089" w:rsidRDefault="00975089" w:rsidP="00975089">
      <w:pPr>
        <w:pStyle w:val="BodyText"/>
        <w:contextualSpacing/>
        <w:jc w:val="both"/>
        <w:rPr>
          <w:rFonts w:cs="Times New Roman"/>
          <w:color w:val="595454" w:themeColor="text1"/>
          <w:sz w:val="20"/>
          <w:szCs w:val="20"/>
        </w:rPr>
      </w:pPr>
      <w:r w:rsidRPr="00975089">
        <w:rPr>
          <w:rFonts w:cs="Times New Roman"/>
          <w:color w:val="595454" w:themeColor="text1"/>
          <w:sz w:val="20"/>
          <w:szCs w:val="20"/>
        </w:rPr>
        <w:t>BMS submits that NICE’s approach in the present case amounts to indirect discrimination.  Specifically, NICE has dogmatically adhered to a policy of limiting a CDF review to the terms of the CDF recommendation.  That decision, applied rigidly, discriminates against cancer patients, who have been denied a beneficial treatment as a result.  Despite this, NICE has failed to make any reasonable adjustment in the circumstances.</w:t>
      </w:r>
    </w:p>
    <w:p w14:paraId="3F1A1129" w14:textId="77777777" w:rsidR="00975089" w:rsidRPr="00975089" w:rsidRDefault="00975089" w:rsidP="00975089">
      <w:pPr>
        <w:jc w:val="both"/>
        <w:rPr>
          <w:rFonts w:cs="Times New Roman"/>
          <w:szCs w:val="20"/>
        </w:rPr>
      </w:pPr>
    </w:p>
    <w:p w14:paraId="66111E52" w14:textId="77777777" w:rsidR="00975089" w:rsidRPr="00975089" w:rsidRDefault="00975089" w:rsidP="00975089">
      <w:pPr>
        <w:pStyle w:val="Heading2"/>
        <w:rPr>
          <w:rFonts w:asciiTheme="minorHAnsi" w:hAnsiTheme="minorHAnsi" w:cs="Times New Roman"/>
          <w:color w:val="595454" w:themeColor="text1"/>
        </w:rPr>
      </w:pPr>
      <w:r w:rsidRPr="00975089">
        <w:rPr>
          <w:rFonts w:asciiTheme="minorHAnsi" w:hAnsiTheme="minorHAnsi" w:cs="Times New Roman"/>
          <w:color w:val="595454" w:themeColor="text1"/>
        </w:rPr>
        <w:t>Ground 2 — The recommendation is unreasonable in the light of the evidence submitted to NICE.</w:t>
      </w:r>
    </w:p>
    <w:p w14:paraId="39C51F95" w14:textId="77777777" w:rsidR="00975089" w:rsidRPr="00975089" w:rsidRDefault="00975089" w:rsidP="00975089">
      <w:pPr>
        <w:pStyle w:val="Heading3"/>
        <w:numPr>
          <w:ilvl w:val="2"/>
          <w:numId w:val="6"/>
        </w:numPr>
        <w:jc w:val="both"/>
        <w:rPr>
          <w:rFonts w:asciiTheme="minorHAnsi" w:hAnsiTheme="minorHAnsi" w:cs="Times New Roman"/>
          <w:color w:val="595454" w:themeColor="text1"/>
          <w:sz w:val="20"/>
          <w:szCs w:val="20"/>
        </w:rPr>
      </w:pPr>
      <w:r w:rsidRPr="00975089">
        <w:rPr>
          <w:rFonts w:asciiTheme="minorHAnsi" w:hAnsiTheme="minorHAnsi" w:cs="Times New Roman"/>
          <w:b/>
          <w:color w:val="595454" w:themeColor="text1"/>
          <w:sz w:val="20"/>
          <w:szCs w:val="20"/>
        </w:rPr>
        <w:lastRenderedPageBreak/>
        <w:t>Ground 2.1 — The FAD is based on fundamentally incorrect assumptions, errors of fact and an unreasonable review of the evidence submitted</w:t>
      </w:r>
    </w:p>
    <w:p w14:paraId="5A597144" w14:textId="556ADBF5" w:rsidR="00975089" w:rsidRPr="00975089" w:rsidRDefault="00975089" w:rsidP="00975089">
      <w:pPr>
        <w:pStyle w:val="BodyText"/>
        <w:contextualSpacing/>
        <w:jc w:val="both"/>
        <w:rPr>
          <w:rFonts w:cs="Times New Roman"/>
          <w:color w:val="595454" w:themeColor="text1"/>
          <w:sz w:val="20"/>
          <w:szCs w:val="20"/>
        </w:rPr>
      </w:pPr>
      <w:r w:rsidRPr="00975089">
        <w:rPr>
          <w:rFonts w:cs="Times New Roman"/>
          <w:color w:val="595454" w:themeColor="text1"/>
          <w:sz w:val="20"/>
          <w:szCs w:val="20"/>
        </w:rPr>
        <w:t>There is an obvious disconnect between: (</w:t>
      </w:r>
      <w:proofErr w:type="spellStart"/>
      <w:r w:rsidRPr="00975089">
        <w:rPr>
          <w:rFonts w:cs="Times New Roman"/>
          <w:color w:val="595454" w:themeColor="text1"/>
          <w:sz w:val="20"/>
          <w:szCs w:val="20"/>
        </w:rPr>
        <w:t>i</w:t>
      </w:r>
      <w:proofErr w:type="spellEnd"/>
      <w:r w:rsidRPr="00975089">
        <w:rPr>
          <w:rFonts w:cs="Times New Roman"/>
          <w:color w:val="595454" w:themeColor="text1"/>
          <w:sz w:val="20"/>
          <w:szCs w:val="20"/>
        </w:rPr>
        <w:t xml:space="preserve">) the evidence BMS submitted and the ERG reviewed, which is in line with the Scope; and (ii) the evidence the Appraisal Committee itself reviewed, which formed the basis of its recommendation.  The conclusions contained in the FAD are based on the latter and reflect an incomplete assessment of the evidence.  Those conclusions are unreasonable </w:t>
      </w:r>
      <w:proofErr w:type="gramStart"/>
      <w:r w:rsidRPr="00975089">
        <w:rPr>
          <w:rFonts w:cs="Times New Roman"/>
          <w:color w:val="595454" w:themeColor="text1"/>
          <w:sz w:val="20"/>
          <w:szCs w:val="20"/>
        </w:rPr>
        <w:t>in light of</w:t>
      </w:r>
      <w:proofErr w:type="gramEnd"/>
      <w:r w:rsidRPr="00975089">
        <w:rPr>
          <w:rFonts w:cs="Times New Roman"/>
          <w:color w:val="595454" w:themeColor="text1"/>
          <w:sz w:val="20"/>
          <w:szCs w:val="20"/>
        </w:rPr>
        <w:t xml:space="preserve"> the data actually submitted by BMS and available to NICE.</w:t>
      </w:r>
    </w:p>
    <w:p w14:paraId="345B2B40" w14:textId="77777777" w:rsidR="00975089" w:rsidRPr="00975089" w:rsidRDefault="00975089" w:rsidP="00975089">
      <w:pPr>
        <w:pStyle w:val="BodyText"/>
        <w:contextualSpacing/>
        <w:jc w:val="both"/>
        <w:rPr>
          <w:rFonts w:cs="Times New Roman"/>
          <w:color w:val="595454" w:themeColor="text1"/>
          <w:sz w:val="20"/>
          <w:szCs w:val="20"/>
        </w:rPr>
      </w:pPr>
    </w:p>
    <w:p w14:paraId="2896FF28" w14:textId="60A62C01" w:rsidR="00975089" w:rsidRPr="00975089" w:rsidRDefault="00975089" w:rsidP="00975089">
      <w:pPr>
        <w:pStyle w:val="BodyText"/>
        <w:contextualSpacing/>
        <w:jc w:val="both"/>
        <w:rPr>
          <w:rFonts w:cs="Times New Roman"/>
          <w:color w:val="595454" w:themeColor="text1"/>
          <w:sz w:val="20"/>
          <w:szCs w:val="20"/>
        </w:rPr>
      </w:pPr>
      <w:r w:rsidRPr="00975089">
        <w:rPr>
          <w:rFonts w:cs="Times New Roman"/>
          <w:color w:val="595454" w:themeColor="text1"/>
          <w:sz w:val="20"/>
          <w:szCs w:val="20"/>
        </w:rPr>
        <w:t>The disconnect means that certain statements and assumptions in the FAD are wrong.  For example:</w:t>
      </w:r>
    </w:p>
    <w:p w14:paraId="43C77141" w14:textId="77777777" w:rsidR="00975089" w:rsidRPr="00975089" w:rsidRDefault="00975089" w:rsidP="00975089">
      <w:pPr>
        <w:pStyle w:val="BodyText"/>
        <w:contextualSpacing/>
        <w:jc w:val="both"/>
        <w:rPr>
          <w:rFonts w:cs="Times New Roman"/>
          <w:color w:val="595454" w:themeColor="text1"/>
          <w:sz w:val="20"/>
          <w:szCs w:val="20"/>
        </w:rPr>
      </w:pPr>
    </w:p>
    <w:p w14:paraId="5550AEA4" w14:textId="77777777" w:rsidR="00975089" w:rsidRPr="00975089" w:rsidRDefault="00975089" w:rsidP="00975089">
      <w:pPr>
        <w:pStyle w:val="BodyText"/>
        <w:numPr>
          <w:ilvl w:val="0"/>
          <w:numId w:val="27"/>
        </w:numPr>
        <w:contextualSpacing/>
        <w:jc w:val="both"/>
        <w:rPr>
          <w:rFonts w:cs="Times New Roman"/>
          <w:color w:val="595454" w:themeColor="text1"/>
          <w:sz w:val="20"/>
          <w:szCs w:val="20"/>
        </w:rPr>
      </w:pPr>
      <w:r w:rsidRPr="00975089">
        <w:rPr>
          <w:rFonts w:cs="Times New Roman"/>
          <w:color w:val="595454" w:themeColor="text1"/>
          <w:sz w:val="20"/>
          <w:szCs w:val="20"/>
        </w:rPr>
        <w:t>Section 3 of the FAD states “</w:t>
      </w:r>
      <w:r w:rsidRPr="00975089">
        <w:rPr>
          <w:rFonts w:cs="Times New Roman"/>
          <w:i/>
          <w:color w:val="595454" w:themeColor="text1"/>
          <w:sz w:val="20"/>
          <w:szCs w:val="20"/>
        </w:rPr>
        <w:t>[t]he appraisal committee considered evidence submitted by Bristol-Myers Squibb</w:t>
      </w:r>
      <w:r w:rsidRPr="00975089">
        <w:rPr>
          <w:rFonts w:cs="Times New Roman"/>
          <w:color w:val="595454" w:themeColor="text1"/>
          <w:sz w:val="20"/>
          <w:szCs w:val="20"/>
        </w:rPr>
        <w:t xml:space="preserve">.” That is only partly true.  The Appraisal Committee obviously did not consider </w:t>
      </w:r>
      <w:proofErr w:type="gramStart"/>
      <w:r w:rsidRPr="00975089">
        <w:rPr>
          <w:rFonts w:cs="Times New Roman"/>
          <w:color w:val="595454" w:themeColor="text1"/>
          <w:sz w:val="20"/>
          <w:szCs w:val="20"/>
        </w:rPr>
        <w:t>all of</w:t>
      </w:r>
      <w:proofErr w:type="gramEnd"/>
      <w:r w:rsidRPr="00975089">
        <w:rPr>
          <w:rFonts w:cs="Times New Roman"/>
          <w:color w:val="595454" w:themeColor="text1"/>
          <w:sz w:val="20"/>
          <w:szCs w:val="20"/>
        </w:rPr>
        <w:t xml:space="preserve"> BMS’s submission.  </w:t>
      </w:r>
    </w:p>
    <w:p w14:paraId="1348B63A" w14:textId="77777777" w:rsidR="00975089" w:rsidRPr="00975089" w:rsidRDefault="00975089" w:rsidP="00975089">
      <w:pPr>
        <w:pStyle w:val="BodyText"/>
        <w:contextualSpacing/>
        <w:jc w:val="both"/>
        <w:rPr>
          <w:rFonts w:cs="Times New Roman"/>
          <w:color w:val="595454" w:themeColor="text1"/>
          <w:sz w:val="20"/>
          <w:szCs w:val="20"/>
        </w:rPr>
      </w:pPr>
    </w:p>
    <w:p w14:paraId="67839114" w14:textId="77777777" w:rsidR="00975089" w:rsidRPr="00975089" w:rsidRDefault="00975089" w:rsidP="00975089">
      <w:pPr>
        <w:pStyle w:val="BodyText"/>
        <w:numPr>
          <w:ilvl w:val="0"/>
          <w:numId w:val="27"/>
        </w:numPr>
        <w:contextualSpacing/>
        <w:jc w:val="both"/>
        <w:rPr>
          <w:rFonts w:cs="Times New Roman"/>
          <w:color w:val="595454" w:themeColor="text1"/>
          <w:sz w:val="20"/>
          <w:szCs w:val="20"/>
        </w:rPr>
      </w:pPr>
      <w:r w:rsidRPr="00975089">
        <w:rPr>
          <w:rFonts w:cs="Times New Roman"/>
          <w:color w:val="595454" w:themeColor="text1"/>
          <w:sz w:val="20"/>
          <w:szCs w:val="20"/>
        </w:rPr>
        <w:t>The FAD wrongly assumes that PD-L1 positives are the relevant patient population for this review.  For instance, when discussing clinical need (at para. 3.1 of the FAD) only PD-L1 positive patients are mentioned, suggesting that this is the patient population under review.  That directly contradicts the 2019 Scope.</w:t>
      </w:r>
    </w:p>
    <w:p w14:paraId="3D61AD71" w14:textId="77777777" w:rsidR="00975089" w:rsidRPr="00975089" w:rsidRDefault="00975089" w:rsidP="00975089">
      <w:pPr>
        <w:pStyle w:val="BodyText"/>
        <w:contextualSpacing/>
        <w:jc w:val="both"/>
        <w:rPr>
          <w:rFonts w:cs="Times New Roman"/>
          <w:color w:val="595454" w:themeColor="text1"/>
          <w:sz w:val="20"/>
          <w:szCs w:val="20"/>
        </w:rPr>
      </w:pPr>
    </w:p>
    <w:p w14:paraId="6747A795" w14:textId="7840223C" w:rsidR="00975089" w:rsidRPr="00975089" w:rsidRDefault="00975089" w:rsidP="00975089">
      <w:pPr>
        <w:pStyle w:val="BodyText"/>
        <w:contextualSpacing/>
        <w:jc w:val="both"/>
        <w:rPr>
          <w:rFonts w:cs="Times New Roman"/>
          <w:color w:val="595454" w:themeColor="text1"/>
        </w:rPr>
      </w:pPr>
      <w:r w:rsidRPr="00975089">
        <w:rPr>
          <w:rFonts w:cs="Times New Roman"/>
          <w:color w:val="595454" w:themeColor="text1"/>
          <w:sz w:val="20"/>
          <w:szCs w:val="20"/>
        </w:rPr>
        <w:t xml:space="preserve">Moreover, by limiting the recommendation to PD-L1 positive patients, the FAD, </w:t>
      </w:r>
      <w:r w:rsidRPr="00975089">
        <w:rPr>
          <w:rFonts w:cs="Times New Roman"/>
          <w:i/>
          <w:color w:val="595454" w:themeColor="text1"/>
          <w:sz w:val="20"/>
          <w:szCs w:val="20"/>
        </w:rPr>
        <w:t>in effect</w:t>
      </w:r>
      <w:r w:rsidRPr="00975089">
        <w:rPr>
          <w:rFonts w:cs="Times New Roman"/>
          <w:color w:val="595454" w:themeColor="text1"/>
          <w:sz w:val="20"/>
          <w:szCs w:val="20"/>
        </w:rPr>
        <w:t>, says that nivolumab is not clinically or cost effective in the whole patient population.  That is incorrect as a matter of fact.</w:t>
      </w:r>
      <w:r w:rsidRPr="00975089">
        <w:rPr>
          <w:rFonts w:cs="Times New Roman"/>
          <w:color w:val="595454" w:themeColor="text1"/>
          <w:sz w:val="20"/>
          <w:szCs w:val="20"/>
          <w:lang w:val="en-US"/>
        </w:rPr>
        <w:t xml:space="preserve">  The most up</w:t>
      </w:r>
      <w:r w:rsidRPr="00975089">
        <w:rPr>
          <w:rFonts w:cs="Times New Roman"/>
          <w:color w:val="595454" w:themeColor="text1"/>
          <w:sz w:val="20"/>
          <w:szCs w:val="20"/>
          <w:lang w:val="en-US"/>
        </w:rPr>
        <w:noBreakHyphen/>
        <w:t>to</w:t>
      </w:r>
      <w:r w:rsidRPr="00975089">
        <w:rPr>
          <w:rFonts w:cs="Times New Roman"/>
          <w:color w:val="595454" w:themeColor="text1"/>
          <w:sz w:val="20"/>
          <w:szCs w:val="20"/>
          <w:lang w:val="en-US"/>
        </w:rPr>
        <w:noBreakHyphen/>
        <w:t xml:space="preserve">date clinical data show </w:t>
      </w:r>
      <w:r w:rsidRPr="00975089">
        <w:rPr>
          <w:rFonts w:cs="Times New Roman"/>
          <w:color w:val="595454" w:themeColor="text1"/>
          <w:sz w:val="20"/>
          <w:szCs w:val="20"/>
        </w:rPr>
        <w:t xml:space="preserve">that, over a 5-year period, nivolumab </w:t>
      </w:r>
      <w:r w:rsidR="00560FA8">
        <w:rPr>
          <w:rFonts w:cs="Times New Roman"/>
          <w:color w:val="595454" w:themeColor="text1"/>
          <w:sz w:val="20"/>
          <w:szCs w:val="20"/>
        </w:rPr>
        <w:t xml:space="preserve">improves overall survival for these </w:t>
      </w:r>
      <w:r w:rsidRPr="00975089">
        <w:rPr>
          <w:rFonts w:cs="Times New Roman"/>
          <w:color w:val="595454" w:themeColor="text1"/>
          <w:sz w:val="20"/>
          <w:szCs w:val="20"/>
        </w:rPr>
        <w:t xml:space="preserve">patients, irrespective of PD-L1 expression.  Data from </w:t>
      </w:r>
      <w:proofErr w:type="spellStart"/>
      <w:r w:rsidRPr="00975089">
        <w:rPr>
          <w:rFonts w:cs="Times New Roman"/>
          <w:color w:val="595454" w:themeColor="text1"/>
          <w:sz w:val="20"/>
          <w:szCs w:val="20"/>
        </w:rPr>
        <w:t>CheckMate</w:t>
      </w:r>
      <w:proofErr w:type="spellEnd"/>
      <w:r w:rsidRPr="00975089">
        <w:rPr>
          <w:rFonts w:cs="Times New Roman"/>
          <w:color w:val="595454" w:themeColor="text1"/>
          <w:sz w:val="20"/>
          <w:szCs w:val="20"/>
        </w:rPr>
        <w:t xml:space="preserve"> 057 demonstrate that the 5-year overall survival for PD-L1 &lt;1% patients is more than </w:t>
      </w:r>
      <w:proofErr w:type="spellStart"/>
      <w:r w:rsidR="00626B7D" w:rsidRPr="00626B7D">
        <w:rPr>
          <w:rFonts w:cs="Times New Roman"/>
          <w:sz w:val="20"/>
          <w:szCs w:val="20"/>
          <w:highlight w:val="black"/>
          <w:u w:val="single"/>
        </w:rPr>
        <w:t>xxxxx</w:t>
      </w:r>
      <w:proofErr w:type="spellEnd"/>
      <w:r w:rsidRPr="00975089">
        <w:rPr>
          <w:rFonts w:cs="Times New Roman"/>
          <w:color w:val="595454" w:themeColor="text1"/>
          <w:sz w:val="20"/>
          <w:szCs w:val="20"/>
        </w:rPr>
        <w:t xml:space="preserve"> times that of the comparator.  This survival rate is </w:t>
      </w:r>
      <w:proofErr w:type="spellStart"/>
      <w:r w:rsidR="00626B7D" w:rsidRPr="00626B7D">
        <w:rPr>
          <w:rFonts w:cs="Times New Roman"/>
          <w:sz w:val="20"/>
          <w:szCs w:val="20"/>
          <w:highlight w:val="black"/>
          <w:u w:val="single"/>
        </w:rPr>
        <w:t>xxxx</w:t>
      </w:r>
      <w:proofErr w:type="spellEnd"/>
      <w:r w:rsidRPr="00975089">
        <w:rPr>
          <w:rFonts w:cs="Times New Roman"/>
          <w:color w:val="595454" w:themeColor="text1"/>
          <w:sz w:val="20"/>
          <w:szCs w:val="20"/>
        </w:rPr>
        <w:t xml:space="preserve"> times higher than the rate the ERG </w:t>
      </w:r>
      <w:proofErr w:type="gramStart"/>
      <w:r w:rsidRPr="00975089">
        <w:rPr>
          <w:rFonts w:cs="Times New Roman"/>
          <w:color w:val="595454" w:themeColor="text1"/>
          <w:sz w:val="20"/>
          <w:szCs w:val="20"/>
        </w:rPr>
        <w:t>took into account</w:t>
      </w:r>
      <w:proofErr w:type="gramEnd"/>
      <w:r w:rsidRPr="00975089">
        <w:rPr>
          <w:rFonts w:cs="Times New Roman"/>
          <w:color w:val="595454" w:themeColor="text1"/>
          <w:sz w:val="20"/>
          <w:szCs w:val="20"/>
        </w:rPr>
        <w:t xml:space="preserve"> in 2017. </w:t>
      </w:r>
    </w:p>
    <w:p w14:paraId="42F4EFAC" w14:textId="77777777" w:rsidR="00975089" w:rsidRPr="00975089" w:rsidRDefault="00975089" w:rsidP="00975089">
      <w:pPr>
        <w:pStyle w:val="Heading3"/>
        <w:keepNext/>
        <w:numPr>
          <w:ilvl w:val="2"/>
          <w:numId w:val="6"/>
        </w:numPr>
        <w:jc w:val="both"/>
        <w:rPr>
          <w:rFonts w:asciiTheme="minorHAnsi" w:hAnsiTheme="minorHAnsi" w:cs="Times New Roman"/>
          <w:b/>
          <w:color w:val="595454" w:themeColor="text1"/>
          <w:sz w:val="20"/>
          <w:szCs w:val="20"/>
        </w:rPr>
      </w:pPr>
      <w:r w:rsidRPr="00975089">
        <w:rPr>
          <w:rFonts w:asciiTheme="minorHAnsi" w:hAnsiTheme="minorHAnsi" w:cs="Times New Roman"/>
          <w:b/>
          <w:color w:val="595454" w:themeColor="text1"/>
          <w:sz w:val="20"/>
          <w:szCs w:val="20"/>
        </w:rPr>
        <w:t xml:space="preserve">Ground 2.2 — The Appraisal Committee’s reasons for refusing to consider the totality of BMS’ evidence </w:t>
      </w:r>
      <w:proofErr w:type="gramStart"/>
      <w:r w:rsidRPr="00975089">
        <w:rPr>
          <w:rFonts w:asciiTheme="minorHAnsi" w:hAnsiTheme="minorHAnsi" w:cs="Times New Roman"/>
          <w:b/>
          <w:color w:val="595454" w:themeColor="text1"/>
          <w:sz w:val="20"/>
          <w:szCs w:val="20"/>
        </w:rPr>
        <w:t>are</w:t>
      </w:r>
      <w:proofErr w:type="gramEnd"/>
      <w:r w:rsidRPr="00975089">
        <w:rPr>
          <w:rFonts w:asciiTheme="minorHAnsi" w:hAnsiTheme="minorHAnsi" w:cs="Times New Roman"/>
          <w:b/>
          <w:color w:val="595454" w:themeColor="text1"/>
          <w:sz w:val="20"/>
          <w:szCs w:val="20"/>
        </w:rPr>
        <w:t xml:space="preserve"> perverse</w:t>
      </w:r>
    </w:p>
    <w:p w14:paraId="499B6C94" w14:textId="77777777" w:rsidR="00975089" w:rsidRPr="00975089" w:rsidRDefault="00975089" w:rsidP="00975089">
      <w:pPr>
        <w:pStyle w:val="BodyText"/>
        <w:jc w:val="both"/>
        <w:rPr>
          <w:rFonts w:cs="Times New Roman"/>
          <w:color w:val="595454" w:themeColor="text1"/>
          <w:sz w:val="20"/>
          <w:szCs w:val="20"/>
        </w:rPr>
      </w:pPr>
      <w:r w:rsidRPr="00975089">
        <w:rPr>
          <w:rFonts w:cs="Times New Roman"/>
          <w:color w:val="595454" w:themeColor="text1"/>
          <w:sz w:val="20"/>
          <w:szCs w:val="20"/>
        </w:rPr>
        <w:t xml:space="preserve">The Appraisal Committee’s refusal to consider the data submitted for PD-L1 &lt;1% patients is paradoxical and perverse.  </w:t>
      </w:r>
      <w:r w:rsidRPr="00975089">
        <w:rPr>
          <w:rFonts w:cs="Times New Roman"/>
          <w:color w:val="595454" w:themeColor="text1"/>
          <w:sz w:val="20"/>
          <w:szCs w:val="20"/>
          <w:lang w:val="en-US"/>
        </w:rPr>
        <w:t>The approach can, in effect, be summarized as follows:</w:t>
      </w:r>
    </w:p>
    <w:p w14:paraId="6AA15476" w14:textId="77777777" w:rsidR="00975089" w:rsidRPr="00975089" w:rsidRDefault="00975089" w:rsidP="00975089">
      <w:pPr>
        <w:pStyle w:val="BodyText"/>
        <w:numPr>
          <w:ilvl w:val="0"/>
          <w:numId w:val="16"/>
        </w:numPr>
        <w:jc w:val="both"/>
        <w:rPr>
          <w:rFonts w:cs="Times New Roman"/>
          <w:color w:val="595454" w:themeColor="text1"/>
          <w:sz w:val="20"/>
          <w:szCs w:val="20"/>
          <w:lang w:val="en-US"/>
        </w:rPr>
      </w:pPr>
      <w:r w:rsidRPr="00975089">
        <w:rPr>
          <w:rFonts w:cs="Times New Roman"/>
          <w:color w:val="595454" w:themeColor="text1"/>
          <w:sz w:val="20"/>
          <w:szCs w:val="20"/>
          <w:lang w:val="en-US"/>
        </w:rPr>
        <w:t>in 2017, nivolumab was not recommended for PD-L1 &lt;1% patients because of uncertainties in the clinical data; and</w:t>
      </w:r>
    </w:p>
    <w:p w14:paraId="4A3225E2" w14:textId="77777777" w:rsidR="00975089" w:rsidRPr="00975089" w:rsidRDefault="00975089" w:rsidP="00975089">
      <w:pPr>
        <w:pStyle w:val="BodyText"/>
        <w:numPr>
          <w:ilvl w:val="0"/>
          <w:numId w:val="16"/>
        </w:numPr>
        <w:jc w:val="both"/>
        <w:rPr>
          <w:rFonts w:cs="Times New Roman"/>
          <w:color w:val="595454" w:themeColor="text1"/>
          <w:sz w:val="20"/>
          <w:szCs w:val="20"/>
          <w:lang w:val="en-US"/>
        </w:rPr>
      </w:pPr>
      <w:r w:rsidRPr="00975089">
        <w:rPr>
          <w:rFonts w:cs="Times New Roman"/>
          <w:color w:val="595454" w:themeColor="text1"/>
          <w:sz w:val="20"/>
          <w:szCs w:val="20"/>
          <w:lang w:val="en-US"/>
        </w:rPr>
        <w:t xml:space="preserve">NICE will therefore not review any more up-to-date clinical data, even where those data resolve the concerns identified in 2017. </w:t>
      </w:r>
    </w:p>
    <w:p w14:paraId="00E421FA" w14:textId="77777777" w:rsidR="00975089" w:rsidRPr="00975089" w:rsidRDefault="00975089" w:rsidP="00975089">
      <w:pPr>
        <w:pStyle w:val="BodyText"/>
        <w:jc w:val="both"/>
        <w:rPr>
          <w:rFonts w:cs="Times New Roman"/>
          <w:color w:val="595454" w:themeColor="text1"/>
          <w:sz w:val="20"/>
          <w:szCs w:val="20"/>
          <w:lang w:val="en-US"/>
        </w:rPr>
      </w:pPr>
      <w:r w:rsidRPr="00975089">
        <w:rPr>
          <w:rFonts w:cs="Times New Roman"/>
          <w:color w:val="595454" w:themeColor="text1"/>
          <w:sz w:val="20"/>
          <w:szCs w:val="20"/>
          <w:lang w:val="en-US"/>
        </w:rPr>
        <w:t xml:space="preserve">This is an illogical position.  Particularly so, given the evidence-gathering principles behind the CDF.  If there are data available that assist NICE with making a well-informed, </w:t>
      </w:r>
      <w:proofErr w:type="gramStart"/>
      <w:r w:rsidRPr="00975089">
        <w:rPr>
          <w:rFonts w:cs="Times New Roman"/>
          <w:color w:val="595454" w:themeColor="text1"/>
          <w:sz w:val="20"/>
          <w:szCs w:val="20"/>
          <w:lang w:val="en-US"/>
        </w:rPr>
        <w:t>thorough</w:t>
      </w:r>
      <w:proofErr w:type="gramEnd"/>
      <w:r w:rsidRPr="00975089">
        <w:rPr>
          <w:rFonts w:cs="Times New Roman"/>
          <w:color w:val="595454" w:themeColor="text1"/>
          <w:sz w:val="20"/>
          <w:szCs w:val="20"/>
          <w:lang w:val="en-US"/>
        </w:rPr>
        <w:t xml:space="preserve"> and up-to-date assessment, it is perverse for NICE to refuse to review them.</w:t>
      </w:r>
    </w:p>
    <w:p w14:paraId="4AF82340" w14:textId="77777777" w:rsidR="00975089" w:rsidRPr="00975089" w:rsidRDefault="00975089" w:rsidP="00975089">
      <w:pPr>
        <w:pStyle w:val="Heading3"/>
        <w:numPr>
          <w:ilvl w:val="2"/>
          <w:numId w:val="6"/>
        </w:numPr>
        <w:jc w:val="both"/>
        <w:rPr>
          <w:rFonts w:asciiTheme="minorHAnsi" w:hAnsiTheme="minorHAnsi" w:cs="Times New Roman"/>
          <w:b/>
          <w:color w:val="595454" w:themeColor="text1"/>
          <w:sz w:val="20"/>
          <w:szCs w:val="20"/>
          <w:lang w:val="en-US"/>
        </w:rPr>
      </w:pPr>
      <w:r w:rsidRPr="00975089">
        <w:rPr>
          <w:rFonts w:asciiTheme="minorHAnsi" w:hAnsiTheme="minorHAnsi" w:cs="Times New Roman"/>
          <w:b/>
          <w:color w:val="595454" w:themeColor="text1"/>
          <w:sz w:val="20"/>
          <w:szCs w:val="20"/>
          <w:lang w:val="en-US"/>
        </w:rPr>
        <w:lastRenderedPageBreak/>
        <w:t>Ground 2.3 — The recommendation makes an unreasonable and arbitrary distinction based on a patient’s PD-L1 expression states, which is a limited and imperfect biomarker in this population</w:t>
      </w:r>
    </w:p>
    <w:p w14:paraId="2C6D2744" w14:textId="77777777" w:rsidR="00975089" w:rsidRPr="00975089" w:rsidRDefault="00975089" w:rsidP="00975089">
      <w:pPr>
        <w:pStyle w:val="BodyText"/>
        <w:jc w:val="both"/>
        <w:rPr>
          <w:color w:val="595454" w:themeColor="text1"/>
          <w:sz w:val="20"/>
          <w:szCs w:val="20"/>
          <w:lang w:val="en-US"/>
        </w:rPr>
      </w:pPr>
      <w:r w:rsidRPr="00975089">
        <w:rPr>
          <w:color w:val="595454" w:themeColor="text1"/>
          <w:sz w:val="20"/>
          <w:szCs w:val="20"/>
          <w:lang w:val="en-US"/>
        </w:rPr>
        <w:t>Determining PD-L1 status is an important step in the diagnostic pathway.  However, PD-L1 remains an imperfect predictive biomarker.  Testing methodologies are still being developed and there is no single, standardized test routinely used by the NHS.  The tests have a high positive predictive value but a low negative predictive value (</w:t>
      </w:r>
      <w:r w:rsidRPr="00975089">
        <w:rPr>
          <w:i/>
          <w:color w:val="595454" w:themeColor="text1"/>
          <w:sz w:val="20"/>
          <w:szCs w:val="20"/>
          <w:lang w:val="en-US"/>
        </w:rPr>
        <w:t>i.e.</w:t>
      </w:r>
      <w:r w:rsidRPr="00975089">
        <w:rPr>
          <w:color w:val="595454" w:themeColor="text1"/>
          <w:sz w:val="20"/>
          <w:szCs w:val="20"/>
          <w:lang w:val="en-US"/>
        </w:rPr>
        <w:t>, if the patient is positive they are more likely to have a good response, but if they are not positive they may still respond to nivolumab, and may even achieve a complete response).</w:t>
      </w:r>
    </w:p>
    <w:p w14:paraId="728838E9" w14:textId="6E86EC0A" w:rsidR="00975089" w:rsidRPr="00975089" w:rsidRDefault="00975089" w:rsidP="00975089">
      <w:pPr>
        <w:pStyle w:val="BodyText"/>
        <w:jc w:val="both"/>
        <w:rPr>
          <w:color w:val="595454" w:themeColor="text1"/>
          <w:sz w:val="20"/>
          <w:szCs w:val="20"/>
        </w:rPr>
      </w:pPr>
      <w:r w:rsidRPr="00975089">
        <w:rPr>
          <w:color w:val="595454" w:themeColor="text1"/>
          <w:sz w:val="20"/>
          <w:szCs w:val="20"/>
        </w:rPr>
        <w:t xml:space="preserve">BMS has been able to demonstrate that patients </w:t>
      </w:r>
      <w:r w:rsidR="00560FA8">
        <w:rPr>
          <w:color w:val="595454" w:themeColor="text1"/>
          <w:sz w:val="20"/>
          <w:szCs w:val="20"/>
        </w:rPr>
        <w:t xml:space="preserve">can </w:t>
      </w:r>
      <w:r w:rsidRPr="00975089">
        <w:rPr>
          <w:color w:val="595454" w:themeColor="text1"/>
          <w:sz w:val="20"/>
          <w:szCs w:val="20"/>
        </w:rPr>
        <w:t>benefit from nivolumab regardless of PD-L1 expression</w:t>
      </w:r>
      <w:r w:rsidR="00A42557">
        <w:rPr>
          <w:color w:val="595454" w:themeColor="text1"/>
          <w:sz w:val="20"/>
          <w:szCs w:val="20"/>
        </w:rPr>
        <w:t xml:space="preserve"> in 2L NSCLC</w:t>
      </w:r>
      <w:r w:rsidRPr="00975089">
        <w:rPr>
          <w:color w:val="595454" w:themeColor="text1"/>
          <w:sz w:val="20"/>
          <w:szCs w:val="20"/>
        </w:rPr>
        <w:t>.  There are also numerous limitations to using PD-L1 expression as a biomarker in this population.  These include the following:</w:t>
      </w:r>
    </w:p>
    <w:p w14:paraId="6EFC4159" w14:textId="77777777" w:rsidR="00975089" w:rsidRPr="00975089" w:rsidRDefault="00975089" w:rsidP="00975089">
      <w:pPr>
        <w:pStyle w:val="BodyText"/>
        <w:numPr>
          <w:ilvl w:val="0"/>
          <w:numId w:val="28"/>
        </w:numPr>
        <w:jc w:val="both"/>
        <w:rPr>
          <w:color w:val="595454" w:themeColor="text1"/>
          <w:sz w:val="20"/>
          <w:szCs w:val="20"/>
        </w:rPr>
      </w:pPr>
      <w:r w:rsidRPr="00975089">
        <w:rPr>
          <w:color w:val="595454" w:themeColor="text1"/>
          <w:sz w:val="20"/>
          <w:szCs w:val="20"/>
        </w:rPr>
        <w:t>Heterogeneity of PD-L1 expression throughout the tumour, and therefore a biopsy, may not be representative of PD-L1 expression within the whole tumour.</w:t>
      </w:r>
    </w:p>
    <w:p w14:paraId="5E63D32A" w14:textId="77777777" w:rsidR="00975089" w:rsidRPr="00975089" w:rsidRDefault="00975089" w:rsidP="00975089">
      <w:pPr>
        <w:pStyle w:val="BodyText"/>
        <w:numPr>
          <w:ilvl w:val="0"/>
          <w:numId w:val="28"/>
        </w:numPr>
        <w:jc w:val="both"/>
        <w:rPr>
          <w:color w:val="595454" w:themeColor="text1"/>
          <w:sz w:val="20"/>
          <w:szCs w:val="20"/>
        </w:rPr>
      </w:pPr>
      <w:r w:rsidRPr="00975089">
        <w:rPr>
          <w:color w:val="595454" w:themeColor="text1"/>
          <w:sz w:val="20"/>
          <w:szCs w:val="20"/>
        </w:rPr>
        <w:t>Unlike tumour driver mutations such as EGFR, protein expression such as that of PD-L1 may vary over time and after prior treatments including chemotherapy.  A biopsy at diagnosis may therefore not be representative of PD-L1 expression level at the time of relapse and treatment decision making.</w:t>
      </w:r>
    </w:p>
    <w:p w14:paraId="36A8D863" w14:textId="77777777" w:rsidR="00975089" w:rsidRPr="00975089" w:rsidRDefault="00975089" w:rsidP="00975089">
      <w:pPr>
        <w:pStyle w:val="BodyText"/>
        <w:numPr>
          <w:ilvl w:val="0"/>
          <w:numId w:val="28"/>
        </w:numPr>
        <w:jc w:val="both"/>
        <w:rPr>
          <w:color w:val="595454" w:themeColor="text1"/>
          <w:sz w:val="20"/>
          <w:szCs w:val="20"/>
        </w:rPr>
      </w:pPr>
      <w:r w:rsidRPr="00975089">
        <w:rPr>
          <w:color w:val="595454" w:themeColor="text1"/>
          <w:sz w:val="20"/>
          <w:szCs w:val="20"/>
        </w:rPr>
        <w:t>The level of expression is a continuous variable, and the appropriate threshold for positivity is debated.  BMS did not seek to define a “cut-off” for PD-L1 expression level, as we did not consider there was a “cut-off” below which patients should not be considered for treatment with nivolumab in the relapsed advanced metastatic setting.  Observed clinical activity in PD-L1 low or non-expressers, suggests that application of stringent PD-L1 cut-offs would likely result in exclusion of patients who would derive benefit from nivolumab treatment.</w:t>
      </w:r>
    </w:p>
    <w:p w14:paraId="0682178C" w14:textId="77777777" w:rsidR="00975089" w:rsidRPr="00975089" w:rsidRDefault="00975089" w:rsidP="00975089">
      <w:pPr>
        <w:pStyle w:val="BodyText"/>
        <w:jc w:val="both"/>
        <w:rPr>
          <w:color w:val="595454" w:themeColor="text1"/>
          <w:sz w:val="20"/>
          <w:szCs w:val="20"/>
        </w:rPr>
      </w:pPr>
      <w:r w:rsidRPr="00975089">
        <w:rPr>
          <w:color w:val="595454" w:themeColor="text1"/>
          <w:sz w:val="20"/>
          <w:szCs w:val="20"/>
          <w:lang w:val="en-US"/>
        </w:rPr>
        <w:t xml:space="preserve">NICE has attached significance to comments made about PD-L1 in the marketing authorization process.  </w:t>
      </w:r>
      <w:r w:rsidRPr="00975089">
        <w:rPr>
          <w:color w:val="595454" w:themeColor="text1"/>
          <w:sz w:val="20"/>
          <w:szCs w:val="20"/>
        </w:rPr>
        <w:t>It is important to put this into context.  The CHMP assessed the risk-benefit profile of nivolumab to be favourable in all patients, regardless of PD-L1 status.  The product is licensed for the whole NSQ NSCLC population, regardless of PD-L1 expression.  During the process of marketing authorisation approval, the CHMP requested</w:t>
      </w:r>
      <w:r w:rsidRPr="00975089">
        <w:rPr>
          <w:i/>
          <w:color w:val="595454" w:themeColor="text1"/>
          <w:sz w:val="20"/>
          <w:szCs w:val="20"/>
        </w:rPr>
        <w:t xml:space="preserve"> post hoc </w:t>
      </w:r>
      <w:r w:rsidRPr="00975089">
        <w:rPr>
          <w:color w:val="595454" w:themeColor="text1"/>
          <w:sz w:val="20"/>
          <w:szCs w:val="20"/>
        </w:rPr>
        <w:t>analyses regarding PD-L1.</w:t>
      </w:r>
      <w:r w:rsidRPr="00975089">
        <w:rPr>
          <w:color w:val="595454" w:themeColor="text1"/>
          <w:sz w:val="22"/>
          <w:szCs w:val="22"/>
        </w:rPr>
        <w:t xml:space="preserve">  </w:t>
      </w:r>
      <w:r w:rsidRPr="00975089">
        <w:rPr>
          <w:color w:val="595454" w:themeColor="text1"/>
          <w:sz w:val="20"/>
          <w:szCs w:val="20"/>
        </w:rPr>
        <w:t xml:space="preserve">These </w:t>
      </w:r>
      <w:r w:rsidRPr="00975089">
        <w:rPr>
          <w:i/>
          <w:color w:val="595454" w:themeColor="text1"/>
          <w:sz w:val="20"/>
          <w:szCs w:val="20"/>
        </w:rPr>
        <w:t>post hoc</w:t>
      </w:r>
      <w:r w:rsidRPr="00975089">
        <w:rPr>
          <w:color w:val="595454" w:themeColor="text1"/>
          <w:sz w:val="20"/>
          <w:szCs w:val="20"/>
        </w:rPr>
        <w:t xml:space="preserve"> results should be interpreted with caution for several reasons: the analysis was retrospective, the subgroup sample sizes are small, and the PD-L1 test was not analytically validated at the 10% or 50% expression levels at the time of the analysis.  The information requested by the CHMP has been provided in the SmPC for information, but the licence remains for all patients regardless of PD-L1 expression level.</w:t>
      </w:r>
    </w:p>
    <w:p w14:paraId="47CE1792" w14:textId="77777777" w:rsidR="00975089" w:rsidRPr="00975089" w:rsidRDefault="00975089" w:rsidP="00975089">
      <w:pPr>
        <w:pStyle w:val="BodyText"/>
        <w:jc w:val="both"/>
        <w:rPr>
          <w:color w:val="595454" w:themeColor="text1"/>
          <w:sz w:val="20"/>
          <w:szCs w:val="20"/>
        </w:rPr>
      </w:pPr>
      <w:r w:rsidRPr="00975089">
        <w:rPr>
          <w:color w:val="595454" w:themeColor="text1"/>
          <w:sz w:val="20"/>
          <w:szCs w:val="20"/>
        </w:rPr>
        <w:t xml:space="preserve">Given the above, a recommendation that relies upon PD-L1 status to determine </w:t>
      </w:r>
      <w:proofErr w:type="gramStart"/>
      <w:r w:rsidRPr="00975089">
        <w:rPr>
          <w:color w:val="595454" w:themeColor="text1"/>
          <w:sz w:val="20"/>
          <w:szCs w:val="20"/>
        </w:rPr>
        <w:t>whether or not</w:t>
      </w:r>
      <w:proofErr w:type="gramEnd"/>
      <w:r w:rsidRPr="00975089">
        <w:rPr>
          <w:color w:val="595454" w:themeColor="text1"/>
          <w:sz w:val="20"/>
          <w:szCs w:val="20"/>
        </w:rPr>
        <w:t xml:space="preserve"> a patient may receive access to a life-extending treatment is illogical.  That becomes abundantly clear (if any such clarification is necessary) </w:t>
      </w:r>
      <w:proofErr w:type="gramStart"/>
      <w:r w:rsidRPr="00975089">
        <w:rPr>
          <w:color w:val="595454" w:themeColor="text1"/>
          <w:sz w:val="20"/>
          <w:szCs w:val="20"/>
        </w:rPr>
        <w:t>in light of</w:t>
      </w:r>
      <w:proofErr w:type="gramEnd"/>
      <w:r w:rsidRPr="00975089">
        <w:rPr>
          <w:color w:val="595454" w:themeColor="text1"/>
          <w:sz w:val="20"/>
          <w:szCs w:val="20"/>
        </w:rPr>
        <w:t xml:space="preserve"> the most up-to-date clinical evidence that BMS submitted to NICE as part of this review.</w:t>
      </w:r>
    </w:p>
    <w:p w14:paraId="486B2158" w14:textId="77777777" w:rsidR="00975089" w:rsidRPr="00975089" w:rsidRDefault="00975089" w:rsidP="00975089">
      <w:pPr>
        <w:jc w:val="both"/>
        <w:rPr>
          <w:rFonts w:cs="Times New Roman"/>
          <w:szCs w:val="20"/>
        </w:rPr>
      </w:pPr>
    </w:p>
    <w:p w14:paraId="50EAF69F" w14:textId="77777777" w:rsidR="00975089" w:rsidRPr="00975089" w:rsidRDefault="00975089" w:rsidP="00975089">
      <w:pPr>
        <w:jc w:val="both"/>
        <w:rPr>
          <w:rFonts w:cs="Times New Roman"/>
          <w:szCs w:val="20"/>
        </w:rPr>
      </w:pPr>
      <w:r w:rsidRPr="00975089">
        <w:rPr>
          <w:rFonts w:cs="Times New Roman"/>
          <w:szCs w:val="20"/>
        </w:rPr>
        <w:t xml:space="preserve">For the reasons set out above, BMS submits that the CDF review was procedurally unfair, breached NICE’s human rights and equalities obligations and reached unreasonable conclusions </w:t>
      </w:r>
      <w:proofErr w:type="gramStart"/>
      <w:r w:rsidRPr="00975089">
        <w:rPr>
          <w:rFonts w:cs="Times New Roman"/>
          <w:szCs w:val="20"/>
        </w:rPr>
        <w:t>in light of</w:t>
      </w:r>
      <w:proofErr w:type="gramEnd"/>
      <w:r w:rsidRPr="00975089">
        <w:rPr>
          <w:rFonts w:cs="Times New Roman"/>
          <w:szCs w:val="20"/>
        </w:rPr>
        <w:t xml:space="preserve"> the evidence submitted and that NICE had a duty to assess.  We respectfully ask that the above grounds are put before the Appeal Panel for adjudication.</w:t>
      </w:r>
    </w:p>
    <w:p w14:paraId="610420CE" w14:textId="77777777" w:rsidR="00975089" w:rsidRPr="00975089" w:rsidRDefault="00975089" w:rsidP="00975089">
      <w:pPr>
        <w:jc w:val="both"/>
        <w:rPr>
          <w:rFonts w:cs="Times New Roman"/>
          <w:szCs w:val="20"/>
        </w:rPr>
      </w:pPr>
    </w:p>
    <w:p w14:paraId="631BF5E1" w14:textId="25038888" w:rsidR="00783A1F" w:rsidRDefault="00975089" w:rsidP="00976217">
      <w:r>
        <w:t>Yours s</w:t>
      </w:r>
      <w:r w:rsidR="00783A1F">
        <w:t>incerely,</w:t>
      </w:r>
    </w:p>
    <w:p w14:paraId="139990F7" w14:textId="77777777" w:rsidR="008448E2" w:rsidRDefault="008448E2" w:rsidP="00976217"/>
    <w:p w14:paraId="631BF5E3" w14:textId="50B1D229" w:rsidR="00783A1F" w:rsidRDefault="00783A1F" w:rsidP="00976217"/>
    <w:p w14:paraId="5E8CC914" w14:textId="34F5036B" w:rsidR="000216CA" w:rsidRDefault="000216CA" w:rsidP="00976217"/>
    <w:p w14:paraId="3690ED33" w14:textId="77777777" w:rsidR="000216CA" w:rsidRDefault="000216CA" w:rsidP="00976217"/>
    <w:p w14:paraId="631BF5E4" w14:textId="77777777" w:rsidR="00776743" w:rsidRDefault="00776743" w:rsidP="00976217"/>
    <w:p w14:paraId="631BF5E5" w14:textId="77777777" w:rsidR="00776743" w:rsidRDefault="00776743" w:rsidP="00976217"/>
    <w:p w14:paraId="7CAD4BD9" w14:textId="13702850" w:rsidR="000216CA" w:rsidRDefault="000216CA" w:rsidP="00975089">
      <w:pPr>
        <w:jc w:val="both"/>
        <w:rPr>
          <w:rFonts w:cs="Times New Roman"/>
          <w:szCs w:val="20"/>
        </w:rPr>
      </w:pPr>
    </w:p>
    <w:p w14:paraId="468DBD5A" w14:textId="2D185A99" w:rsidR="00975089" w:rsidRPr="00EA57EA" w:rsidRDefault="00EA57EA" w:rsidP="00975089">
      <w:pPr>
        <w:jc w:val="both"/>
        <w:rPr>
          <w:rFonts w:cs="Times New Roman"/>
          <w:color w:val="auto"/>
          <w:szCs w:val="20"/>
          <w:highlight w:val="black"/>
        </w:rPr>
      </w:pPr>
      <w:r w:rsidRPr="00EA57EA">
        <w:rPr>
          <w:rFonts w:cs="Times New Roman"/>
          <w:color w:val="auto"/>
          <w:szCs w:val="20"/>
          <w:highlight w:val="black"/>
        </w:rPr>
        <w:t>XXXXXXXXXX</w:t>
      </w:r>
    </w:p>
    <w:p w14:paraId="78EE9F9B" w14:textId="0F0FB974" w:rsidR="008169C4" w:rsidRPr="00EA57EA" w:rsidRDefault="00EA57EA" w:rsidP="005C064E">
      <w:pPr>
        <w:jc w:val="both"/>
        <w:rPr>
          <w:rFonts w:cs="Times New Roman"/>
          <w:color w:val="auto"/>
          <w:szCs w:val="20"/>
        </w:rPr>
      </w:pPr>
      <w:r w:rsidRPr="00EA57EA">
        <w:rPr>
          <w:rFonts w:cs="Times New Roman"/>
          <w:color w:val="auto"/>
          <w:szCs w:val="20"/>
          <w:highlight w:val="black"/>
        </w:rPr>
        <w:t>XXXXXXXXXXXXXXXXXXXXXXXXXXXXXXXXXXXXXXXXXXX</w:t>
      </w:r>
    </w:p>
    <w:sectPr w:rsidR="008169C4" w:rsidRPr="00EA57EA" w:rsidSect="004B7CE3">
      <w:headerReference w:type="default" r:id="rId10"/>
      <w:headerReference w:type="first" r:id="rId11"/>
      <w:footerReference w:type="first" r:id="rId12"/>
      <w:pgSz w:w="11900" w:h="16820"/>
      <w:pgMar w:top="2552" w:right="680" w:bottom="2155" w:left="3374" w:header="68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511C9C" w14:textId="77777777" w:rsidR="008516FD" w:rsidRDefault="008516FD" w:rsidP="003E27D3">
      <w:r>
        <w:separator/>
      </w:r>
    </w:p>
  </w:endnote>
  <w:endnote w:type="continuationSeparator" w:id="0">
    <w:p w14:paraId="436C4D5D" w14:textId="77777777" w:rsidR="008516FD" w:rsidRDefault="008516FD" w:rsidP="003E2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page" w:horzAnchor="page" w:tblpX="681" w:tblpY="15191"/>
      <w:tblOverlap w:val="never"/>
      <w:tblW w:w="11004" w:type="dxa"/>
      <w:tblBorders>
        <w:top w:val="none" w:sz="0" w:space="0" w:color="auto"/>
        <w:bottom w:val="none" w:sz="0" w:space="0" w:color="auto"/>
        <w:insideH w:val="none" w:sz="0" w:space="0" w:color="auto"/>
      </w:tblBorders>
      <w:tblCellMar>
        <w:top w:w="0" w:type="dxa"/>
        <w:bottom w:w="0" w:type="dxa"/>
      </w:tblCellMar>
      <w:tblLook w:val="0600" w:firstRow="0" w:lastRow="0" w:firstColumn="0" w:lastColumn="0" w:noHBand="1" w:noVBand="1"/>
    </w:tblPr>
    <w:tblGrid>
      <w:gridCol w:w="2469"/>
      <w:gridCol w:w="227"/>
      <w:gridCol w:w="2468"/>
      <w:gridCol w:w="227"/>
      <w:gridCol w:w="2973"/>
      <w:gridCol w:w="2640"/>
    </w:tblGrid>
    <w:tr w:rsidR="00F94AA4" w14:paraId="631BF600" w14:textId="77777777" w:rsidTr="008D3832">
      <w:trPr>
        <w:trHeight w:hRule="exact" w:val="1008"/>
      </w:trPr>
      <w:tc>
        <w:tcPr>
          <w:tcW w:w="2469" w:type="dxa"/>
        </w:tcPr>
        <w:p w14:paraId="03AC1A57" w14:textId="77777777" w:rsidR="00F27A0C" w:rsidRPr="00496104" w:rsidRDefault="00F27A0C" w:rsidP="00F27A0C">
          <w:pPr>
            <w:pStyle w:val="FooterName"/>
            <w:rPr>
              <w:color w:val="595454"/>
            </w:rPr>
          </w:pPr>
          <w:r w:rsidRPr="00496104">
            <w:rPr>
              <w:color w:val="595454"/>
            </w:rPr>
            <w:t>Bristol-Myers Squibb Pharmaceuticals Limited</w:t>
          </w:r>
        </w:p>
        <w:p w14:paraId="631BF5F2" w14:textId="0034C667" w:rsidR="00F94AA4" w:rsidRDefault="00F94AA4" w:rsidP="00F16EEC">
          <w:pPr>
            <w:pStyle w:val="FooterInformation"/>
          </w:pPr>
        </w:p>
      </w:tc>
      <w:tc>
        <w:tcPr>
          <w:tcW w:w="227" w:type="dxa"/>
        </w:tcPr>
        <w:p w14:paraId="631BF5F3" w14:textId="77777777" w:rsidR="00F94AA4" w:rsidRDefault="00F94AA4" w:rsidP="00F16EEC">
          <w:pPr>
            <w:pStyle w:val="FooterInformation"/>
          </w:pPr>
        </w:p>
      </w:tc>
      <w:tc>
        <w:tcPr>
          <w:tcW w:w="2468" w:type="dxa"/>
        </w:tcPr>
        <w:p w14:paraId="257DF70A" w14:textId="77777777" w:rsidR="004A6EA2" w:rsidRDefault="004A6EA2" w:rsidP="004A6EA2">
          <w:pPr>
            <w:pStyle w:val="FooterInformation"/>
          </w:pPr>
          <w:r>
            <w:t>Uxbridge Business Park</w:t>
          </w:r>
        </w:p>
        <w:p w14:paraId="6C7AF839" w14:textId="77777777" w:rsidR="004A6EA2" w:rsidRDefault="004A6EA2" w:rsidP="004A6EA2">
          <w:pPr>
            <w:pStyle w:val="FooterInformation"/>
          </w:pPr>
          <w:r>
            <w:t>Sanderson Road</w:t>
          </w:r>
        </w:p>
        <w:p w14:paraId="37978952" w14:textId="77777777" w:rsidR="008D3832" w:rsidRDefault="004A6EA2" w:rsidP="004A6EA2">
          <w:pPr>
            <w:pStyle w:val="FooterInformation"/>
          </w:pPr>
          <w:r>
            <w:t>Uxbridge</w:t>
          </w:r>
          <w:r w:rsidR="008D3832">
            <w:t>, Middlesex</w:t>
          </w:r>
        </w:p>
        <w:p w14:paraId="6E24547C" w14:textId="77C78F92" w:rsidR="008D3832" w:rsidRDefault="004A6EA2" w:rsidP="004A6EA2">
          <w:pPr>
            <w:pStyle w:val="FooterInformation"/>
          </w:pPr>
          <w:r>
            <w:t>UB8 1</w:t>
          </w:r>
          <w:proofErr w:type="gramStart"/>
          <w:r>
            <w:t xml:space="preserve">DH </w:t>
          </w:r>
          <w:r w:rsidR="008D3832">
            <w:t xml:space="preserve"> United</w:t>
          </w:r>
          <w:proofErr w:type="gramEnd"/>
          <w:r w:rsidR="008D3832">
            <w:t xml:space="preserve"> Kingdom</w:t>
          </w:r>
        </w:p>
        <w:p w14:paraId="631BF5F8" w14:textId="20324EDA" w:rsidR="00F94AA4" w:rsidRDefault="00F94AA4" w:rsidP="004A6EA2">
          <w:pPr>
            <w:pStyle w:val="FooterInformation"/>
          </w:pPr>
          <w:r>
            <w:t>bms.com</w:t>
          </w:r>
          <w:r w:rsidR="00F27A0C">
            <w:t>/</w:t>
          </w:r>
          <w:proofErr w:type="spellStart"/>
          <w:r w:rsidR="00F27A0C">
            <w:t>gb</w:t>
          </w:r>
          <w:proofErr w:type="spellEnd"/>
        </w:p>
      </w:tc>
      <w:tc>
        <w:tcPr>
          <w:tcW w:w="227" w:type="dxa"/>
        </w:tcPr>
        <w:p w14:paraId="631BF5F9" w14:textId="77777777" w:rsidR="00F94AA4" w:rsidRDefault="00F94AA4" w:rsidP="00F16EEC">
          <w:pPr>
            <w:pStyle w:val="FooterInformation"/>
          </w:pPr>
        </w:p>
      </w:tc>
      <w:tc>
        <w:tcPr>
          <w:tcW w:w="2973" w:type="dxa"/>
        </w:tcPr>
        <w:p w14:paraId="6BDE8F34" w14:textId="7E32632F" w:rsidR="00F27A0C" w:rsidRDefault="00F27A0C" w:rsidP="00F27A0C">
          <w:pPr>
            <w:pStyle w:val="FooterInformation"/>
            <w:tabs>
              <w:tab w:val="clear" w:pos="547"/>
              <w:tab w:val="left" w:pos="566"/>
            </w:tabs>
          </w:pPr>
          <w:r>
            <w:t>Office</w:t>
          </w:r>
          <w:r>
            <w:tab/>
          </w:r>
          <w:r w:rsidR="008169C4">
            <w:t xml:space="preserve">+44 </w:t>
          </w:r>
          <w:r w:rsidR="008D3832">
            <w:t>(</w:t>
          </w:r>
          <w:r>
            <w:t>0</w:t>
          </w:r>
          <w:r w:rsidR="008D3832">
            <w:t>)</w:t>
          </w:r>
          <w:r>
            <w:t>1895 523000</w:t>
          </w:r>
        </w:p>
        <w:p w14:paraId="5428B88C" w14:textId="0E1E8CC5" w:rsidR="00F27A0C" w:rsidRDefault="00F27A0C" w:rsidP="00F27A0C">
          <w:pPr>
            <w:pStyle w:val="FooterInformation"/>
            <w:tabs>
              <w:tab w:val="clear" w:pos="547"/>
              <w:tab w:val="left" w:pos="566"/>
            </w:tabs>
          </w:pPr>
          <w:r>
            <w:t xml:space="preserve">Fax </w:t>
          </w:r>
          <w:r>
            <w:tab/>
          </w:r>
          <w:r w:rsidR="008169C4">
            <w:t xml:space="preserve">+44 </w:t>
          </w:r>
          <w:r w:rsidR="008D3832">
            <w:t>(</w:t>
          </w:r>
          <w:r>
            <w:t>0</w:t>
          </w:r>
          <w:r w:rsidR="008D3832">
            <w:t>)</w:t>
          </w:r>
          <w:r>
            <w:t>1895 523010</w:t>
          </w:r>
        </w:p>
        <w:p w14:paraId="393CBA09" w14:textId="26C2D203" w:rsidR="00F27A0C" w:rsidRDefault="00F27A0C" w:rsidP="00F27A0C">
          <w:pPr>
            <w:pStyle w:val="FooterInformation"/>
          </w:pPr>
          <w:r>
            <w:t xml:space="preserve">Medical Information </w:t>
          </w:r>
          <w:r w:rsidR="00763D90">
            <w:t>0</w:t>
          </w:r>
          <w:r>
            <w:t>800 731 1736</w:t>
          </w:r>
        </w:p>
        <w:p w14:paraId="631BF5FE" w14:textId="61E13730" w:rsidR="002E3FCA" w:rsidRDefault="00F27A0C" w:rsidP="00F27A0C">
          <w:pPr>
            <w:pStyle w:val="FooterInformation"/>
          </w:pPr>
          <w:r>
            <w:t xml:space="preserve">medical.information@bms.com </w:t>
          </w:r>
        </w:p>
      </w:tc>
      <w:tc>
        <w:tcPr>
          <w:tcW w:w="2640" w:type="dxa"/>
        </w:tcPr>
        <w:p w14:paraId="25BA421D" w14:textId="77777777" w:rsidR="00F94AA4" w:rsidRDefault="00F94AA4" w:rsidP="00F16EEC">
          <w:pPr>
            <w:pStyle w:val="FooterInformation"/>
          </w:pPr>
        </w:p>
        <w:p w14:paraId="631BF5FF" w14:textId="1830DDD0" w:rsidR="00F16EEC" w:rsidRDefault="00F16EEC" w:rsidP="00F27A0C">
          <w:pPr>
            <w:pStyle w:val="FooterInformation"/>
            <w:ind w:left="142" w:hanging="89"/>
          </w:pPr>
        </w:p>
      </w:tc>
    </w:tr>
    <w:tr w:rsidR="00F16EEC" w14:paraId="1CADCB55" w14:textId="77777777" w:rsidTr="008D3832">
      <w:trPr>
        <w:trHeight w:hRule="exact" w:val="283"/>
      </w:trPr>
      <w:tc>
        <w:tcPr>
          <w:tcW w:w="2469" w:type="dxa"/>
        </w:tcPr>
        <w:p w14:paraId="138074D7" w14:textId="77777777" w:rsidR="00F16EEC" w:rsidRDefault="00F16EEC" w:rsidP="00F16EEC">
          <w:pPr>
            <w:pStyle w:val="FooterName"/>
          </w:pPr>
        </w:p>
      </w:tc>
      <w:tc>
        <w:tcPr>
          <w:tcW w:w="227" w:type="dxa"/>
        </w:tcPr>
        <w:p w14:paraId="420F0744" w14:textId="77777777" w:rsidR="00F16EEC" w:rsidRDefault="00F16EEC" w:rsidP="00F16EEC">
          <w:pPr>
            <w:pStyle w:val="FooterInformation"/>
          </w:pPr>
        </w:p>
      </w:tc>
      <w:tc>
        <w:tcPr>
          <w:tcW w:w="8308" w:type="dxa"/>
          <w:gridSpan w:val="4"/>
        </w:tcPr>
        <w:p w14:paraId="73479862" w14:textId="4258018B" w:rsidR="00F16EEC" w:rsidRDefault="00F16EEC" w:rsidP="00F16EEC">
          <w:pPr>
            <w:pStyle w:val="FooterInformation"/>
          </w:pPr>
          <w:r w:rsidRPr="00ED56C5">
            <w:rPr>
              <w:noProof/>
              <w:sz w:val="13"/>
              <w:szCs w:val="13"/>
              <w:lang w:val="en-GB" w:eastAsia="en-GB"/>
            </w:rPr>
            <w:t xml:space="preserve">Registered In England 2487574. Registered Office: Uxbridge </w:t>
          </w:r>
          <w:r w:rsidRPr="00496104">
            <w:rPr>
              <w:noProof/>
              <w:sz w:val="13"/>
              <w:szCs w:val="13"/>
              <w:lang w:val="en-GB" w:eastAsia="en-GB"/>
            </w:rPr>
            <w:t xml:space="preserve">Business </w:t>
          </w:r>
          <w:r w:rsidRPr="00ED56C5">
            <w:rPr>
              <w:noProof/>
              <w:sz w:val="13"/>
              <w:szCs w:val="13"/>
              <w:lang w:val="en-GB" w:eastAsia="en-GB"/>
            </w:rPr>
            <w:t>Park, Sanderson Road, Uxbridge, Middlesex UB8 1DH</w:t>
          </w:r>
        </w:p>
      </w:tc>
    </w:tr>
  </w:tbl>
  <w:p w14:paraId="631BF601" w14:textId="77777777" w:rsidR="00101463" w:rsidRDefault="00283852" w:rsidP="008767EE">
    <w:pPr>
      <w:pStyle w:val="FooterInformation"/>
    </w:pPr>
    <w:r>
      <w:rPr>
        <w:noProof/>
        <w:lang w:val="en-GB" w:eastAsia="en-GB"/>
      </w:rPr>
      <mc:AlternateContent>
        <mc:Choice Requires="wps">
          <w:drawing>
            <wp:anchor distT="0" distB="0" distL="114300" distR="114300" simplePos="0" relativeHeight="251660288" behindDoc="0" locked="0" layoutInCell="1" allowOverlap="1" wp14:anchorId="631BF608" wp14:editId="631BF609">
              <wp:simplePos x="0" y="0"/>
              <wp:positionH relativeFrom="page">
                <wp:posOffset>431800</wp:posOffset>
              </wp:positionH>
              <wp:positionV relativeFrom="page">
                <wp:posOffset>9577070</wp:posOffset>
              </wp:positionV>
              <wp:extent cx="6696000" cy="0"/>
              <wp:effectExtent l="0" t="0" r="10160" b="12700"/>
              <wp:wrapNone/>
              <wp:docPr id="3" name="Footer Line"/>
              <wp:cNvGraphicFramePr/>
              <a:graphic xmlns:a="http://schemas.openxmlformats.org/drawingml/2006/main">
                <a:graphicData uri="http://schemas.microsoft.com/office/word/2010/wordprocessingShape">
                  <wps:wsp>
                    <wps:cNvCnPr/>
                    <wps:spPr>
                      <a:xfrm>
                        <a:off x="0" y="0"/>
                        <a:ext cx="6696000" cy="0"/>
                      </a:xfrm>
                      <a:prstGeom prst="line">
                        <a:avLst/>
                      </a:prstGeom>
                      <a:ln w="6350" cap="rnd">
                        <a:solidFill>
                          <a:srgbClr val="BE2BBB"/>
                        </a:solidFill>
                      </a:ln>
                    </wps:spPr>
                    <wps:style>
                      <a:lnRef idx="1">
                        <a:schemeClr val="accent1"/>
                      </a:lnRef>
                      <a:fillRef idx="0">
                        <a:schemeClr val="accent1"/>
                      </a:fillRef>
                      <a:effectRef idx="0">
                        <a:srgbClr val="000000"/>
                      </a:effectRef>
                      <a:fontRef idx="minor">
                        <a:schemeClr val="lt1"/>
                      </a:fontRef>
                    </wps:style>
                    <wps:bodyPr/>
                  </wps:wsp>
                </a:graphicData>
              </a:graphic>
              <wp14:sizeRelH relativeFrom="margin">
                <wp14:pctWidth>0</wp14:pctWidth>
              </wp14:sizeRelH>
            </wp:anchor>
          </w:drawing>
        </mc:Choice>
        <mc:Fallback>
          <w:pict>
            <v:line w14:anchorId="1D80EEA0" id="Footer Line" o:spid="_x0000_s1026" style="position:absolute;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754.1pt" to="561.25pt,7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" strokecolor="#be2bbb" strokeweight=".5pt">
              <v:stroke endcap="round"/>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F61FDD" w14:textId="77777777" w:rsidR="008516FD" w:rsidRDefault="008516FD" w:rsidP="003E27D3">
      <w:r>
        <w:separator/>
      </w:r>
    </w:p>
  </w:footnote>
  <w:footnote w:type="continuationSeparator" w:id="0">
    <w:p w14:paraId="382477F4" w14:textId="77777777" w:rsidR="008516FD" w:rsidRDefault="008516FD" w:rsidP="003E27D3">
      <w:r>
        <w:continuationSeparator/>
      </w:r>
    </w:p>
  </w:footnote>
  <w:footnote w:id="1">
    <w:p w14:paraId="66E272F3" w14:textId="77777777" w:rsidR="00975089" w:rsidRPr="00975089" w:rsidRDefault="00975089" w:rsidP="00975089">
      <w:pPr>
        <w:pStyle w:val="FootnoteText"/>
        <w:contextualSpacing/>
        <w:rPr>
          <w:color w:val="595454" w:themeColor="text1"/>
          <w:sz w:val="18"/>
          <w:szCs w:val="18"/>
        </w:rPr>
      </w:pPr>
      <w:r w:rsidRPr="00975089">
        <w:rPr>
          <w:rStyle w:val="FootnoteReference"/>
          <w:color w:val="595454" w:themeColor="text1"/>
          <w:sz w:val="18"/>
          <w:szCs w:val="18"/>
        </w:rPr>
        <w:footnoteRef/>
      </w:r>
      <w:r w:rsidRPr="00975089">
        <w:rPr>
          <w:color w:val="595454" w:themeColor="text1"/>
          <w:sz w:val="18"/>
          <w:szCs w:val="18"/>
        </w:rPr>
        <w:t xml:space="preserve"> Para. 4.33 of the </w:t>
      </w:r>
      <w:proofErr w:type="gramStart"/>
      <w:r w:rsidRPr="00975089">
        <w:rPr>
          <w:color w:val="595454" w:themeColor="text1"/>
          <w:sz w:val="18"/>
          <w:szCs w:val="18"/>
        </w:rPr>
        <w:t>FAD</w:t>
      </w:r>
      <w:proofErr w:type="gramEnd"/>
      <w:r w:rsidRPr="00975089">
        <w:rPr>
          <w:color w:val="595454" w:themeColor="text1"/>
          <w:sz w:val="18"/>
          <w:szCs w:val="18"/>
        </w:rPr>
        <w:t xml:space="preserve"> in TA484</w:t>
      </w:r>
    </w:p>
  </w:footnote>
  <w:footnote w:id="2">
    <w:p w14:paraId="1860C99F" w14:textId="77777777" w:rsidR="00975089" w:rsidRPr="00330A21" w:rsidRDefault="00975089" w:rsidP="00975089">
      <w:pPr>
        <w:pStyle w:val="FootnoteText"/>
        <w:contextualSpacing/>
        <w:rPr>
          <w:sz w:val="18"/>
          <w:szCs w:val="18"/>
        </w:rPr>
      </w:pPr>
      <w:r w:rsidRPr="00975089">
        <w:rPr>
          <w:rStyle w:val="FootnoteReference"/>
          <w:color w:val="595454" w:themeColor="text1"/>
          <w:sz w:val="18"/>
          <w:szCs w:val="18"/>
        </w:rPr>
        <w:footnoteRef/>
      </w:r>
      <w:r w:rsidRPr="00975089">
        <w:rPr>
          <w:color w:val="595454" w:themeColor="text1"/>
          <w:sz w:val="18"/>
          <w:szCs w:val="18"/>
        </w:rPr>
        <w:t xml:space="preserve"> Sections 4.1 and 4.2 of the Managed Access Agreement, September 2017</w:t>
      </w:r>
    </w:p>
  </w:footnote>
  <w:footnote w:id="3">
    <w:p w14:paraId="5423857E" w14:textId="47AF534E" w:rsidR="00975089" w:rsidRPr="00330A21" w:rsidRDefault="00975089" w:rsidP="00975089">
      <w:pPr>
        <w:pStyle w:val="FootnoteText"/>
        <w:contextualSpacing/>
        <w:rPr>
          <w:sz w:val="18"/>
          <w:szCs w:val="18"/>
        </w:rPr>
      </w:pPr>
      <w:r w:rsidRPr="00975089">
        <w:rPr>
          <w:rStyle w:val="FootnoteReference"/>
          <w:color w:val="595454" w:themeColor="text1"/>
          <w:sz w:val="18"/>
          <w:szCs w:val="18"/>
        </w:rPr>
        <w:footnoteRef/>
      </w:r>
      <w:r w:rsidRPr="00975089">
        <w:rPr>
          <w:color w:val="595454" w:themeColor="text1"/>
          <w:sz w:val="18"/>
          <w:szCs w:val="18"/>
        </w:rPr>
        <w:t xml:space="preserve"> Email from </w:t>
      </w:r>
      <w:proofErr w:type="spellStart"/>
      <w:r w:rsidR="005F27E5" w:rsidRPr="00A16F29">
        <w:rPr>
          <w:sz w:val="18"/>
          <w:szCs w:val="18"/>
          <w:highlight w:val="black"/>
        </w:rPr>
        <w:t>xxxxxx</w:t>
      </w:r>
      <w:proofErr w:type="spellEnd"/>
      <w:r w:rsidR="005F27E5" w:rsidRPr="00A16F29">
        <w:rPr>
          <w:sz w:val="18"/>
          <w:szCs w:val="18"/>
        </w:rPr>
        <w:t xml:space="preserve"> </w:t>
      </w:r>
      <w:proofErr w:type="spellStart"/>
      <w:r w:rsidR="005F27E5" w:rsidRPr="00A16F29">
        <w:rPr>
          <w:sz w:val="18"/>
          <w:szCs w:val="18"/>
          <w:highlight w:val="black"/>
        </w:rPr>
        <w:t>xxxxxxxx</w:t>
      </w:r>
      <w:proofErr w:type="spellEnd"/>
      <w:r w:rsidRPr="00A16F29">
        <w:rPr>
          <w:sz w:val="18"/>
          <w:szCs w:val="18"/>
        </w:rPr>
        <w:t xml:space="preserve"> </w:t>
      </w:r>
      <w:r w:rsidRPr="00975089">
        <w:rPr>
          <w:color w:val="595454" w:themeColor="text1"/>
          <w:sz w:val="18"/>
          <w:szCs w:val="18"/>
        </w:rPr>
        <w:t>to BMS, 13 August 2019</w:t>
      </w:r>
    </w:p>
  </w:footnote>
  <w:footnote w:id="4">
    <w:p w14:paraId="71C51D78" w14:textId="77777777" w:rsidR="00975089" w:rsidRPr="00975089" w:rsidRDefault="00975089" w:rsidP="00975089">
      <w:pPr>
        <w:pStyle w:val="FootnoteText"/>
        <w:contextualSpacing/>
        <w:rPr>
          <w:color w:val="595454" w:themeColor="text1"/>
          <w:sz w:val="18"/>
          <w:szCs w:val="18"/>
        </w:rPr>
      </w:pPr>
      <w:r w:rsidRPr="00975089">
        <w:rPr>
          <w:rStyle w:val="FootnoteReference"/>
          <w:color w:val="595454" w:themeColor="text1"/>
          <w:sz w:val="18"/>
          <w:szCs w:val="18"/>
        </w:rPr>
        <w:footnoteRef/>
      </w:r>
      <w:r w:rsidRPr="00975089">
        <w:rPr>
          <w:color w:val="595454" w:themeColor="text1"/>
          <w:sz w:val="18"/>
          <w:szCs w:val="18"/>
        </w:rPr>
        <w:t xml:space="preserve"> </w:t>
      </w:r>
      <w:r w:rsidRPr="00975089">
        <w:rPr>
          <w:rFonts w:eastAsia="Calibri" w:cs="Times New Roman"/>
          <w:color w:val="595454" w:themeColor="text1"/>
          <w:sz w:val="18"/>
          <w:szCs w:val="18"/>
        </w:rPr>
        <w:t>Section 2.4 of the Methods Guide</w:t>
      </w:r>
    </w:p>
  </w:footnote>
  <w:footnote w:id="5">
    <w:p w14:paraId="3208779C" w14:textId="77777777" w:rsidR="00975089" w:rsidRPr="00CD768C" w:rsidRDefault="00975089" w:rsidP="00975089">
      <w:pPr>
        <w:pStyle w:val="FootnoteText"/>
        <w:contextualSpacing/>
        <w:rPr>
          <w:sz w:val="18"/>
          <w:szCs w:val="18"/>
        </w:rPr>
      </w:pPr>
      <w:r w:rsidRPr="00975089">
        <w:rPr>
          <w:rStyle w:val="FootnoteReference"/>
          <w:color w:val="595454" w:themeColor="text1"/>
          <w:sz w:val="18"/>
          <w:szCs w:val="18"/>
        </w:rPr>
        <w:footnoteRef/>
      </w:r>
      <w:r w:rsidRPr="00975089">
        <w:rPr>
          <w:color w:val="595454" w:themeColor="text1"/>
          <w:sz w:val="18"/>
          <w:szCs w:val="18"/>
        </w:rPr>
        <w:t xml:space="preserve"> </w:t>
      </w:r>
      <w:r w:rsidRPr="005C064E">
        <w:rPr>
          <w:rFonts w:eastAsia="Calibri" w:cs="Times New Roman"/>
          <w:color w:val="595454" w:themeColor="text1"/>
          <w:sz w:val="18"/>
          <w:szCs w:val="18"/>
        </w:rPr>
        <w:t>Section 2.4.4 of the Methods Guide</w:t>
      </w:r>
    </w:p>
  </w:footnote>
  <w:footnote w:id="6">
    <w:p w14:paraId="09E16E9F" w14:textId="77777777" w:rsidR="00975089" w:rsidRPr="00975089" w:rsidRDefault="00975089" w:rsidP="00975089">
      <w:pPr>
        <w:pStyle w:val="FootnoteText"/>
        <w:contextualSpacing/>
        <w:rPr>
          <w:rFonts w:cs="Times New Roman"/>
          <w:color w:val="595454" w:themeColor="text1"/>
          <w:sz w:val="18"/>
          <w:szCs w:val="18"/>
        </w:rPr>
      </w:pPr>
      <w:r w:rsidRPr="00975089">
        <w:rPr>
          <w:rStyle w:val="FootnoteReference"/>
          <w:rFonts w:cs="Times New Roman"/>
          <w:color w:val="595454" w:themeColor="text1"/>
          <w:sz w:val="18"/>
          <w:szCs w:val="18"/>
        </w:rPr>
        <w:footnoteRef/>
      </w:r>
      <w:r w:rsidRPr="00975089">
        <w:rPr>
          <w:rFonts w:cs="Times New Roman"/>
          <w:color w:val="595454" w:themeColor="text1"/>
          <w:sz w:val="18"/>
          <w:szCs w:val="18"/>
        </w:rPr>
        <w:t xml:space="preserve"> NICE Appeal on TA282 (Advice on pirfenidone for treating idiopathic pulmonary fibrosis) (appeal date, 2 December 2016), paras. 27 and 28</w:t>
      </w:r>
    </w:p>
  </w:footnote>
  <w:footnote w:id="7">
    <w:p w14:paraId="285D8029" w14:textId="77777777" w:rsidR="00975089" w:rsidRPr="00C86CB0" w:rsidRDefault="00975089" w:rsidP="00975089">
      <w:pPr>
        <w:pStyle w:val="FootnoteText"/>
        <w:rPr>
          <w:sz w:val="18"/>
          <w:szCs w:val="18"/>
        </w:rPr>
      </w:pPr>
      <w:r w:rsidRPr="00975089">
        <w:rPr>
          <w:rStyle w:val="FootnoteReference"/>
          <w:color w:val="595454" w:themeColor="text1"/>
          <w:sz w:val="18"/>
          <w:szCs w:val="18"/>
        </w:rPr>
        <w:footnoteRef/>
      </w:r>
      <w:r w:rsidRPr="00975089">
        <w:rPr>
          <w:color w:val="595454" w:themeColor="text1"/>
          <w:sz w:val="18"/>
          <w:szCs w:val="18"/>
        </w:rPr>
        <w:t xml:space="preserve"> </w:t>
      </w:r>
      <w:r w:rsidRPr="00975089">
        <w:rPr>
          <w:rFonts w:eastAsia="Calibri" w:cs="Times New Roman"/>
          <w:color w:val="595454" w:themeColor="text1"/>
          <w:sz w:val="18"/>
          <w:szCs w:val="18"/>
          <w:lang w:val="en-US"/>
        </w:rPr>
        <w:t>Section 5.10 of the Methods Guide specifically warns against this -- engineering the review of evidence to fit a particular set of recommendations for sub-groups</w:t>
      </w:r>
    </w:p>
  </w:footnote>
  <w:footnote w:id="8">
    <w:p w14:paraId="260A79CA" w14:textId="56098FDA" w:rsidR="00975089" w:rsidRPr="00330A21" w:rsidRDefault="00975089" w:rsidP="00975089">
      <w:pPr>
        <w:pStyle w:val="FootnoteText"/>
        <w:contextualSpacing/>
        <w:rPr>
          <w:sz w:val="18"/>
          <w:szCs w:val="18"/>
        </w:rPr>
      </w:pPr>
      <w:r w:rsidRPr="00975089">
        <w:rPr>
          <w:rStyle w:val="FootnoteReference"/>
          <w:color w:val="595454" w:themeColor="text1"/>
          <w:sz w:val="18"/>
          <w:szCs w:val="18"/>
        </w:rPr>
        <w:footnoteRef/>
      </w:r>
      <w:r w:rsidRPr="00975089">
        <w:rPr>
          <w:color w:val="595454" w:themeColor="text1"/>
          <w:sz w:val="18"/>
          <w:szCs w:val="18"/>
        </w:rPr>
        <w:t xml:space="preserve"> Email from </w:t>
      </w:r>
      <w:proofErr w:type="spellStart"/>
      <w:r w:rsidR="00A16F29" w:rsidRPr="00A16F29">
        <w:rPr>
          <w:sz w:val="18"/>
          <w:szCs w:val="18"/>
          <w:highlight w:val="black"/>
        </w:rPr>
        <w:t>xxxx</w:t>
      </w:r>
      <w:proofErr w:type="spellEnd"/>
      <w:r w:rsidR="00A16F29">
        <w:rPr>
          <w:color w:val="595454" w:themeColor="text1"/>
          <w:sz w:val="18"/>
          <w:szCs w:val="18"/>
        </w:rPr>
        <w:t xml:space="preserve"> </w:t>
      </w:r>
      <w:proofErr w:type="spellStart"/>
      <w:r w:rsidR="00A16F29" w:rsidRPr="00A16F29">
        <w:rPr>
          <w:sz w:val="18"/>
          <w:szCs w:val="18"/>
          <w:highlight w:val="black"/>
        </w:rPr>
        <w:t>xxxxxx</w:t>
      </w:r>
      <w:proofErr w:type="spellEnd"/>
      <w:r w:rsidRPr="00975089">
        <w:rPr>
          <w:color w:val="595454" w:themeColor="text1"/>
          <w:sz w:val="18"/>
          <w:szCs w:val="18"/>
        </w:rPr>
        <w:t xml:space="preserve"> and </w:t>
      </w:r>
      <w:proofErr w:type="spellStart"/>
      <w:r w:rsidR="00A16F29" w:rsidRPr="00A16F29">
        <w:rPr>
          <w:sz w:val="18"/>
          <w:szCs w:val="18"/>
          <w:highlight w:val="black"/>
        </w:rPr>
        <w:t>xxxxxxx</w:t>
      </w:r>
      <w:proofErr w:type="spellEnd"/>
      <w:r w:rsidR="00A16F29">
        <w:rPr>
          <w:color w:val="595454" w:themeColor="text1"/>
          <w:sz w:val="18"/>
          <w:szCs w:val="18"/>
        </w:rPr>
        <w:t xml:space="preserve"> </w:t>
      </w:r>
      <w:proofErr w:type="spellStart"/>
      <w:r w:rsidR="00A16F29" w:rsidRPr="00A16F29">
        <w:rPr>
          <w:sz w:val="18"/>
          <w:szCs w:val="18"/>
          <w:highlight w:val="black"/>
        </w:rPr>
        <w:t>xxxxxxxx</w:t>
      </w:r>
      <w:proofErr w:type="spellEnd"/>
      <w:r w:rsidRPr="00975089">
        <w:rPr>
          <w:color w:val="595454" w:themeColor="text1"/>
          <w:sz w:val="18"/>
          <w:szCs w:val="18"/>
        </w:rPr>
        <w:t xml:space="preserve"> to BMS, 19 July 2019</w:t>
      </w:r>
    </w:p>
  </w:footnote>
  <w:footnote w:id="9">
    <w:p w14:paraId="7AEF0C80" w14:textId="77777777" w:rsidR="00975089" w:rsidRPr="00975089" w:rsidRDefault="00975089" w:rsidP="00975089">
      <w:pPr>
        <w:pStyle w:val="FootnoteText"/>
        <w:contextualSpacing/>
        <w:rPr>
          <w:color w:val="595454" w:themeColor="text1"/>
          <w:sz w:val="18"/>
          <w:szCs w:val="18"/>
        </w:rPr>
      </w:pPr>
      <w:r w:rsidRPr="00975089">
        <w:rPr>
          <w:rStyle w:val="FootnoteReference"/>
          <w:color w:val="595454" w:themeColor="text1"/>
          <w:sz w:val="18"/>
          <w:szCs w:val="18"/>
        </w:rPr>
        <w:footnoteRef/>
      </w:r>
      <w:r w:rsidRPr="00975089">
        <w:rPr>
          <w:color w:val="595454" w:themeColor="text1"/>
          <w:sz w:val="18"/>
          <w:szCs w:val="18"/>
        </w:rPr>
        <w:t xml:space="preserve"> Appraisal and Funding of Cancer Drugs from July 2016 (including the new Cancer Drugs Fund); A new deal for patients, taxpayers and industry, 8 July 2016, para. 36 (see also para. 56)</w:t>
      </w:r>
    </w:p>
  </w:footnote>
  <w:footnote w:id="10">
    <w:p w14:paraId="3FBF8DB3" w14:textId="77777777" w:rsidR="00975089" w:rsidRPr="00975089" w:rsidRDefault="00975089" w:rsidP="00975089">
      <w:pPr>
        <w:pStyle w:val="FootnoteText"/>
        <w:contextualSpacing/>
        <w:rPr>
          <w:color w:val="595454" w:themeColor="text1"/>
          <w:sz w:val="18"/>
          <w:szCs w:val="18"/>
        </w:rPr>
      </w:pPr>
      <w:r w:rsidRPr="00975089">
        <w:rPr>
          <w:rStyle w:val="FootnoteReference"/>
          <w:color w:val="595454" w:themeColor="text1"/>
          <w:sz w:val="18"/>
          <w:szCs w:val="18"/>
        </w:rPr>
        <w:footnoteRef/>
      </w:r>
      <w:r w:rsidRPr="00975089">
        <w:rPr>
          <w:color w:val="595454" w:themeColor="text1"/>
          <w:sz w:val="18"/>
          <w:szCs w:val="18"/>
        </w:rPr>
        <w:t xml:space="preserve"> </w:t>
      </w:r>
      <w:r w:rsidRPr="00975089">
        <w:rPr>
          <w:i/>
          <w:color w:val="595454" w:themeColor="text1"/>
          <w:sz w:val="18"/>
          <w:szCs w:val="18"/>
        </w:rPr>
        <w:t>Id</w:t>
      </w:r>
      <w:r w:rsidRPr="00975089">
        <w:rPr>
          <w:color w:val="595454" w:themeColor="text1"/>
          <w:sz w:val="18"/>
          <w:szCs w:val="18"/>
        </w:rPr>
        <w:t>. para. 99</w:t>
      </w:r>
    </w:p>
  </w:footnote>
  <w:footnote w:id="11">
    <w:p w14:paraId="32ABE7F7" w14:textId="77777777" w:rsidR="00975089" w:rsidRPr="00330A21" w:rsidRDefault="00975089" w:rsidP="00975089">
      <w:pPr>
        <w:pStyle w:val="FootnoteText"/>
        <w:contextualSpacing/>
        <w:rPr>
          <w:sz w:val="18"/>
          <w:szCs w:val="18"/>
        </w:rPr>
      </w:pPr>
      <w:r w:rsidRPr="00975089">
        <w:rPr>
          <w:rStyle w:val="FootnoteReference"/>
          <w:color w:val="595454" w:themeColor="text1"/>
          <w:sz w:val="18"/>
          <w:szCs w:val="18"/>
        </w:rPr>
        <w:footnoteRef/>
      </w:r>
      <w:r w:rsidRPr="00975089">
        <w:rPr>
          <w:color w:val="595454" w:themeColor="text1"/>
          <w:sz w:val="18"/>
          <w:szCs w:val="18"/>
        </w:rPr>
        <w:t xml:space="preserve"> Para. 4.33 of the </w:t>
      </w:r>
      <w:proofErr w:type="gramStart"/>
      <w:r w:rsidRPr="00975089">
        <w:rPr>
          <w:color w:val="595454" w:themeColor="text1"/>
          <w:sz w:val="18"/>
          <w:szCs w:val="18"/>
        </w:rPr>
        <w:t>FAD</w:t>
      </w:r>
      <w:proofErr w:type="gramEnd"/>
      <w:r w:rsidRPr="00975089">
        <w:rPr>
          <w:color w:val="595454" w:themeColor="text1"/>
          <w:sz w:val="18"/>
          <w:szCs w:val="18"/>
        </w:rPr>
        <w:t xml:space="preserve"> in TA484</w:t>
      </w:r>
    </w:p>
  </w:footnote>
  <w:footnote w:id="12">
    <w:p w14:paraId="07EEC3B4" w14:textId="77777777" w:rsidR="00975089" w:rsidRPr="00975089" w:rsidRDefault="00975089" w:rsidP="00975089">
      <w:pPr>
        <w:pStyle w:val="FootnoteText"/>
        <w:contextualSpacing/>
        <w:rPr>
          <w:color w:val="595454" w:themeColor="text1"/>
          <w:sz w:val="18"/>
          <w:szCs w:val="18"/>
        </w:rPr>
      </w:pPr>
      <w:r w:rsidRPr="00975089">
        <w:rPr>
          <w:rStyle w:val="FootnoteReference"/>
          <w:color w:val="595454" w:themeColor="text1"/>
          <w:sz w:val="18"/>
          <w:szCs w:val="18"/>
        </w:rPr>
        <w:footnoteRef/>
      </w:r>
      <w:r w:rsidRPr="00975089">
        <w:rPr>
          <w:color w:val="595454" w:themeColor="text1"/>
          <w:sz w:val="18"/>
          <w:szCs w:val="18"/>
        </w:rPr>
        <w:t xml:space="preserve"> </w:t>
      </w:r>
      <w:r w:rsidRPr="00975089">
        <w:rPr>
          <w:i/>
          <w:color w:val="595454" w:themeColor="text1"/>
          <w:sz w:val="18"/>
          <w:szCs w:val="18"/>
        </w:rPr>
        <w:t>R(</w:t>
      </w:r>
      <w:proofErr w:type="spellStart"/>
      <w:r w:rsidRPr="00975089">
        <w:rPr>
          <w:i/>
          <w:color w:val="595454" w:themeColor="text1"/>
          <w:sz w:val="18"/>
          <w:szCs w:val="18"/>
        </w:rPr>
        <w:t>otao</w:t>
      </w:r>
      <w:proofErr w:type="spellEnd"/>
      <w:r w:rsidRPr="00975089">
        <w:rPr>
          <w:i/>
          <w:color w:val="595454" w:themeColor="text1"/>
          <w:sz w:val="18"/>
          <w:szCs w:val="18"/>
        </w:rPr>
        <w:t xml:space="preserve">) </w:t>
      </w:r>
      <w:proofErr w:type="spellStart"/>
      <w:r w:rsidRPr="00975089">
        <w:rPr>
          <w:i/>
          <w:color w:val="595454" w:themeColor="text1"/>
          <w:sz w:val="18"/>
          <w:szCs w:val="18"/>
        </w:rPr>
        <w:t>Servier</w:t>
      </w:r>
      <w:proofErr w:type="spellEnd"/>
      <w:r w:rsidRPr="00975089">
        <w:rPr>
          <w:i/>
          <w:color w:val="595454" w:themeColor="text1"/>
          <w:sz w:val="18"/>
          <w:szCs w:val="18"/>
        </w:rPr>
        <w:t xml:space="preserve"> Laboratories Ltd v NICE</w:t>
      </w:r>
      <w:r w:rsidRPr="00975089">
        <w:rPr>
          <w:color w:val="595454" w:themeColor="text1"/>
          <w:sz w:val="18"/>
          <w:szCs w:val="18"/>
        </w:rPr>
        <w:t xml:space="preserve"> [2009] EWHC 281 (Admin), para. 171</w:t>
      </w:r>
    </w:p>
  </w:footnote>
  <w:footnote w:id="13">
    <w:p w14:paraId="6DD6831D" w14:textId="77777777" w:rsidR="00975089" w:rsidRPr="00060EED" w:rsidRDefault="00975089" w:rsidP="00975089">
      <w:pPr>
        <w:pStyle w:val="FootnoteText"/>
        <w:contextualSpacing/>
        <w:rPr>
          <w:sz w:val="18"/>
          <w:szCs w:val="18"/>
        </w:rPr>
      </w:pPr>
      <w:r w:rsidRPr="00975089">
        <w:rPr>
          <w:rStyle w:val="FootnoteReference"/>
          <w:color w:val="595454" w:themeColor="text1"/>
          <w:sz w:val="18"/>
          <w:szCs w:val="18"/>
        </w:rPr>
        <w:footnoteRef/>
      </w:r>
      <w:r w:rsidRPr="00975089">
        <w:rPr>
          <w:color w:val="595454" w:themeColor="text1"/>
          <w:sz w:val="18"/>
          <w:szCs w:val="18"/>
        </w:rPr>
        <w:t xml:space="preserve"> </w:t>
      </w:r>
      <w:r w:rsidRPr="00975089">
        <w:rPr>
          <w:i/>
          <w:color w:val="595454" w:themeColor="text1"/>
          <w:sz w:val="18"/>
          <w:szCs w:val="18"/>
        </w:rPr>
        <w:t>See</w:t>
      </w:r>
      <w:r w:rsidRPr="00975089">
        <w:rPr>
          <w:color w:val="595454" w:themeColor="text1"/>
          <w:sz w:val="18"/>
          <w:szCs w:val="18"/>
        </w:rPr>
        <w:t xml:space="preserve"> </w:t>
      </w:r>
      <w:r w:rsidRPr="00975089">
        <w:rPr>
          <w:i/>
          <w:color w:val="595454" w:themeColor="text1"/>
          <w:sz w:val="18"/>
          <w:szCs w:val="18"/>
        </w:rPr>
        <w:t xml:space="preserve">e.g., R v Manchester Metropolitan University, ex </w:t>
      </w:r>
      <w:proofErr w:type="spellStart"/>
      <w:r w:rsidRPr="00975089">
        <w:rPr>
          <w:i/>
          <w:color w:val="595454" w:themeColor="text1"/>
          <w:sz w:val="18"/>
          <w:szCs w:val="18"/>
        </w:rPr>
        <w:t>parte</w:t>
      </w:r>
      <w:proofErr w:type="spellEnd"/>
      <w:r w:rsidRPr="00975089">
        <w:rPr>
          <w:i/>
          <w:color w:val="595454" w:themeColor="text1"/>
          <w:sz w:val="18"/>
          <w:szCs w:val="18"/>
        </w:rPr>
        <w:t xml:space="preserve"> Nolan [1990] ELR 380</w:t>
      </w:r>
    </w:p>
  </w:footnote>
  <w:footnote w:id="14">
    <w:p w14:paraId="5970EE9D" w14:textId="77777777" w:rsidR="00975089" w:rsidRPr="00975089" w:rsidRDefault="00975089" w:rsidP="00975089">
      <w:pPr>
        <w:pStyle w:val="FootnoteText"/>
        <w:contextualSpacing/>
        <w:rPr>
          <w:color w:val="595454" w:themeColor="text1"/>
          <w:sz w:val="18"/>
          <w:szCs w:val="18"/>
        </w:rPr>
      </w:pPr>
      <w:r w:rsidRPr="00975089">
        <w:rPr>
          <w:rStyle w:val="FootnoteReference"/>
          <w:color w:val="595454" w:themeColor="text1"/>
          <w:sz w:val="18"/>
          <w:szCs w:val="18"/>
        </w:rPr>
        <w:footnoteRef/>
      </w:r>
      <w:r w:rsidRPr="00975089">
        <w:rPr>
          <w:color w:val="595454" w:themeColor="text1"/>
          <w:sz w:val="18"/>
          <w:szCs w:val="18"/>
        </w:rPr>
        <w:t xml:space="preserve"> </w:t>
      </w:r>
      <w:r w:rsidRPr="00975089">
        <w:rPr>
          <w:i/>
          <w:color w:val="595454" w:themeColor="text1"/>
          <w:sz w:val="18"/>
          <w:szCs w:val="18"/>
        </w:rPr>
        <w:t>Supra</w:t>
      </w:r>
      <w:r w:rsidRPr="00975089">
        <w:rPr>
          <w:color w:val="595454" w:themeColor="text1"/>
          <w:sz w:val="18"/>
          <w:szCs w:val="18"/>
        </w:rPr>
        <w:t>, note 12</w:t>
      </w:r>
      <w:r w:rsidRPr="00975089">
        <w:rPr>
          <w:i/>
          <w:color w:val="595454" w:themeColor="text1"/>
          <w:sz w:val="18"/>
          <w:szCs w:val="18"/>
        </w:rPr>
        <w:t>,</w:t>
      </w:r>
      <w:r w:rsidRPr="00975089">
        <w:rPr>
          <w:color w:val="595454" w:themeColor="text1"/>
          <w:sz w:val="18"/>
          <w:szCs w:val="18"/>
        </w:rPr>
        <w:t xml:space="preserve"> para. 172</w:t>
      </w:r>
    </w:p>
  </w:footnote>
  <w:footnote w:id="15">
    <w:p w14:paraId="5C7ED945" w14:textId="77777777" w:rsidR="00975089" w:rsidRPr="00975089" w:rsidRDefault="00975089" w:rsidP="00975089">
      <w:pPr>
        <w:pStyle w:val="FootnoteText"/>
        <w:contextualSpacing/>
        <w:rPr>
          <w:color w:val="595454" w:themeColor="text1"/>
          <w:sz w:val="18"/>
          <w:szCs w:val="18"/>
        </w:rPr>
      </w:pPr>
      <w:r w:rsidRPr="00975089">
        <w:rPr>
          <w:rStyle w:val="FootnoteReference"/>
          <w:color w:val="595454" w:themeColor="text1"/>
          <w:sz w:val="18"/>
          <w:szCs w:val="18"/>
        </w:rPr>
        <w:footnoteRef/>
      </w:r>
      <w:r w:rsidRPr="00975089">
        <w:rPr>
          <w:color w:val="595454" w:themeColor="text1"/>
          <w:sz w:val="18"/>
          <w:szCs w:val="18"/>
        </w:rPr>
        <w:t xml:space="preserve"> </w:t>
      </w:r>
      <w:r w:rsidRPr="00975089">
        <w:rPr>
          <w:i/>
          <w:color w:val="595454" w:themeColor="text1"/>
          <w:sz w:val="18"/>
          <w:szCs w:val="18"/>
        </w:rPr>
        <w:t>British Oxygen Company Ltd v Minister of Technology</w:t>
      </w:r>
      <w:r w:rsidRPr="00975089">
        <w:rPr>
          <w:color w:val="595454" w:themeColor="text1"/>
          <w:sz w:val="18"/>
          <w:szCs w:val="18"/>
        </w:rPr>
        <w:t xml:space="preserve"> [2011] EWCA </w:t>
      </w:r>
      <w:proofErr w:type="spellStart"/>
      <w:r w:rsidRPr="00975089">
        <w:rPr>
          <w:color w:val="595454" w:themeColor="text1"/>
          <w:sz w:val="18"/>
          <w:szCs w:val="18"/>
        </w:rPr>
        <w:t>Civ</w:t>
      </w:r>
      <w:proofErr w:type="spellEnd"/>
      <w:r w:rsidRPr="00975089">
        <w:rPr>
          <w:color w:val="595454" w:themeColor="text1"/>
          <w:sz w:val="18"/>
          <w:szCs w:val="18"/>
        </w:rPr>
        <w:t xml:space="preserve"> 462</w:t>
      </w:r>
    </w:p>
  </w:footnote>
  <w:footnote w:id="16">
    <w:p w14:paraId="09621CE9" w14:textId="77777777" w:rsidR="00975089" w:rsidRDefault="00975089" w:rsidP="00975089">
      <w:pPr>
        <w:pStyle w:val="FootnoteText"/>
        <w:contextualSpacing/>
      </w:pPr>
      <w:r w:rsidRPr="00975089">
        <w:rPr>
          <w:rStyle w:val="FootnoteReference"/>
          <w:color w:val="595454" w:themeColor="text1"/>
          <w:sz w:val="18"/>
          <w:szCs w:val="18"/>
        </w:rPr>
        <w:footnoteRef/>
      </w:r>
      <w:r w:rsidRPr="00975089">
        <w:rPr>
          <w:color w:val="595454" w:themeColor="text1"/>
          <w:sz w:val="18"/>
          <w:szCs w:val="18"/>
        </w:rPr>
        <w:t xml:space="preserve"> </w:t>
      </w:r>
      <w:r w:rsidRPr="00975089">
        <w:rPr>
          <w:i/>
          <w:color w:val="595454" w:themeColor="text1"/>
          <w:sz w:val="18"/>
          <w:szCs w:val="18"/>
        </w:rPr>
        <w:t>South Bucks District Council v Porter (No 2)</w:t>
      </w:r>
      <w:r w:rsidRPr="00975089">
        <w:rPr>
          <w:color w:val="595454" w:themeColor="text1"/>
          <w:sz w:val="18"/>
          <w:szCs w:val="18"/>
        </w:rPr>
        <w:t xml:space="preserve"> [2004] 1 WLR 1953 at page 1964, para. 36</w:t>
      </w:r>
    </w:p>
  </w:footnote>
  <w:footnote w:id="17">
    <w:p w14:paraId="13FBDF41" w14:textId="77777777" w:rsidR="00975089" w:rsidRPr="00975089" w:rsidRDefault="00975089" w:rsidP="00975089">
      <w:pPr>
        <w:pStyle w:val="FootnoteText"/>
        <w:contextualSpacing/>
        <w:rPr>
          <w:color w:val="595454" w:themeColor="text1"/>
          <w:sz w:val="18"/>
          <w:szCs w:val="18"/>
        </w:rPr>
      </w:pPr>
      <w:r w:rsidRPr="00975089">
        <w:rPr>
          <w:rStyle w:val="FootnoteReference"/>
          <w:color w:val="595454" w:themeColor="text1"/>
          <w:sz w:val="18"/>
          <w:szCs w:val="18"/>
        </w:rPr>
        <w:footnoteRef/>
      </w:r>
      <w:r w:rsidRPr="00975089">
        <w:rPr>
          <w:color w:val="595454" w:themeColor="text1"/>
          <w:sz w:val="18"/>
          <w:szCs w:val="18"/>
        </w:rPr>
        <w:t xml:space="preserve"> </w:t>
      </w:r>
      <w:r w:rsidRPr="00975089">
        <w:rPr>
          <w:i/>
          <w:color w:val="595454" w:themeColor="text1"/>
          <w:sz w:val="18"/>
          <w:szCs w:val="18"/>
        </w:rPr>
        <w:t>See</w:t>
      </w:r>
      <w:r w:rsidRPr="00975089">
        <w:rPr>
          <w:color w:val="595454" w:themeColor="text1"/>
          <w:sz w:val="18"/>
          <w:szCs w:val="18"/>
        </w:rPr>
        <w:t xml:space="preserve"> </w:t>
      </w:r>
      <w:r w:rsidRPr="00975089">
        <w:rPr>
          <w:i/>
          <w:color w:val="595454" w:themeColor="text1"/>
          <w:sz w:val="18"/>
          <w:szCs w:val="18"/>
          <w:lang w:val="en-US"/>
        </w:rPr>
        <w:t>e.g.</w:t>
      </w:r>
      <w:r w:rsidRPr="00975089">
        <w:rPr>
          <w:color w:val="595454" w:themeColor="text1"/>
          <w:sz w:val="18"/>
          <w:szCs w:val="18"/>
          <w:lang w:val="en-US"/>
        </w:rPr>
        <w:t>, Section 1.14 of the Methods Guide, the NICE Equality Scheme and NICE Social Value Judgments principles at paras. 3.1 and 9</w:t>
      </w:r>
    </w:p>
  </w:footnote>
  <w:footnote w:id="18">
    <w:p w14:paraId="40B07477" w14:textId="77777777" w:rsidR="00975089" w:rsidRPr="00975089" w:rsidRDefault="00975089" w:rsidP="00975089">
      <w:pPr>
        <w:pStyle w:val="FootnoteText"/>
        <w:contextualSpacing/>
        <w:rPr>
          <w:color w:val="595454" w:themeColor="text1"/>
          <w:sz w:val="18"/>
          <w:szCs w:val="18"/>
        </w:rPr>
      </w:pPr>
      <w:r w:rsidRPr="00975089">
        <w:rPr>
          <w:rStyle w:val="FootnoteReference"/>
          <w:color w:val="595454" w:themeColor="text1"/>
          <w:sz w:val="18"/>
          <w:szCs w:val="18"/>
        </w:rPr>
        <w:footnoteRef/>
      </w:r>
      <w:r w:rsidRPr="00975089">
        <w:rPr>
          <w:color w:val="595454" w:themeColor="text1"/>
          <w:sz w:val="18"/>
          <w:szCs w:val="18"/>
        </w:rPr>
        <w:t xml:space="preserve"> IARC. Cancer Incidence, Mortality and Prevalence Worldwide GLOBOCAN 2012. Available at: http://gco.iarc.fr/ (accessed Sept 25th</w:t>
      </w:r>
      <w:proofErr w:type="gramStart"/>
      <w:r w:rsidRPr="00975089">
        <w:rPr>
          <w:color w:val="595454" w:themeColor="text1"/>
          <w:sz w:val="18"/>
          <w:szCs w:val="18"/>
        </w:rPr>
        <w:t xml:space="preserve"> 2020</w:t>
      </w:r>
      <w:proofErr w:type="gramEnd"/>
      <w:r w:rsidRPr="00975089">
        <w:rPr>
          <w:color w:val="595454" w:themeColor="text1"/>
          <w:sz w:val="18"/>
          <w:szCs w:val="18"/>
        </w:rPr>
        <w:t xml:space="preserve">) </w:t>
      </w:r>
    </w:p>
  </w:footnote>
  <w:footnote w:id="19">
    <w:p w14:paraId="4C70C761" w14:textId="77777777" w:rsidR="00975089" w:rsidRPr="00975089" w:rsidRDefault="00975089" w:rsidP="00975089">
      <w:pPr>
        <w:pStyle w:val="FootnoteText"/>
        <w:contextualSpacing/>
        <w:rPr>
          <w:color w:val="595454" w:themeColor="text1"/>
          <w:sz w:val="18"/>
          <w:szCs w:val="18"/>
        </w:rPr>
      </w:pPr>
      <w:r w:rsidRPr="00975089">
        <w:rPr>
          <w:rStyle w:val="FootnoteReference"/>
          <w:color w:val="595454" w:themeColor="text1"/>
          <w:sz w:val="18"/>
          <w:szCs w:val="18"/>
        </w:rPr>
        <w:footnoteRef/>
      </w:r>
      <w:r w:rsidRPr="00975089">
        <w:rPr>
          <w:color w:val="595454" w:themeColor="text1"/>
          <w:sz w:val="18"/>
          <w:szCs w:val="18"/>
        </w:rPr>
        <w:t xml:space="preserve"> Royal College of Physicians. National Lung Cancer Audit (2020). Published August 2020. Available at: https://www.rcplondon.ac.uk/projects/outputs/annual-report-published-2020 (accessed Sept 25th</w:t>
      </w:r>
      <w:proofErr w:type="gramStart"/>
      <w:r w:rsidRPr="00975089">
        <w:rPr>
          <w:color w:val="595454" w:themeColor="text1"/>
          <w:sz w:val="18"/>
          <w:szCs w:val="18"/>
        </w:rPr>
        <w:t xml:space="preserve"> 2020</w:t>
      </w:r>
      <w:proofErr w:type="gramEnd"/>
      <w:r w:rsidRPr="00975089">
        <w:rPr>
          <w:color w:val="595454" w:themeColor="text1"/>
          <w:sz w:val="18"/>
          <w:szCs w:val="18"/>
        </w:rPr>
        <w:t>)</w:t>
      </w:r>
    </w:p>
  </w:footnote>
  <w:footnote w:id="20">
    <w:p w14:paraId="1D9DBF63" w14:textId="77777777" w:rsidR="00975089" w:rsidRPr="00975089" w:rsidRDefault="00975089" w:rsidP="00975089">
      <w:pPr>
        <w:pStyle w:val="FootnoteText"/>
        <w:contextualSpacing/>
        <w:rPr>
          <w:color w:val="595454" w:themeColor="text1"/>
          <w:sz w:val="18"/>
          <w:szCs w:val="18"/>
        </w:rPr>
      </w:pPr>
      <w:r w:rsidRPr="00975089">
        <w:rPr>
          <w:rStyle w:val="FootnoteReference"/>
          <w:color w:val="595454" w:themeColor="text1"/>
          <w:sz w:val="18"/>
          <w:szCs w:val="18"/>
        </w:rPr>
        <w:footnoteRef/>
      </w:r>
      <w:r w:rsidRPr="00975089">
        <w:rPr>
          <w:color w:val="595454" w:themeColor="text1"/>
          <w:sz w:val="18"/>
          <w:szCs w:val="18"/>
        </w:rPr>
        <w:t xml:space="preserve"> Simeone JC, Nordstrom BL, Patel K, Klein AB. Treatment patterns and overall survival in metastatic non-small-cell lung cancer in a real-world, US setting. Future Oncol. 2019 Oct;15(30):3491-3502</w:t>
      </w:r>
    </w:p>
  </w:footnote>
  <w:footnote w:id="21">
    <w:p w14:paraId="47C40910" w14:textId="77777777" w:rsidR="00975089" w:rsidRPr="0053435B" w:rsidRDefault="00975089" w:rsidP="00975089">
      <w:pPr>
        <w:pStyle w:val="FootnoteText"/>
        <w:contextualSpacing/>
        <w:rPr>
          <w:sz w:val="18"/>
          <w:szCs w:val="18"/>
        </w:rPr>
      </w:pPr>
      <w:r w:rsidRPr="00975089">
        <w:rPr>
          <w:rStyle w:val="FootnoteReference"/>
          <w:color w:val="595454" w:themeColor="text1"/>
          <w:sz w:val="18"/>
          <w:szCs w:val="18"/>
        </w:rPr>
        <w:footnoteRef/>
      </w:r>
      <w:r w:rsidRPr="00975089">
        <w:rPr>
          <w:color w:val="595454" w:themeColor="text1"/>
          <w:sz w:val="18"/>
          <w:szCs w:val="18"/>
        </w:rPr>
        <w:t xml:space="preserve"> </w:t>
      </w:r>
      <w:r w:rsidRPr="00975089">
        <w:rPr>
          <w:i/>
          <w:color w:val="595454" w:themeColor="text1"/>
          <w:sz w:val="18"/>
          <w:szCs w:val="18"/>
        </w:rPr>
        <w:t>Osman v United Kingdom</w:t>
      </w:r>
      <w:r w:rsidRPr="00975089">
        <w:rPr>
          <w:color w:val="595454" w:themeColor="text1"/>
          <w:sz w:val="18"/>
          <w:szCs w:val="18"/>
        </w:rPr>
        <w:t xml:space="preserve"> (1997) 29 EHRR 245; </w:t>
      </w:r>
      <w:proofErr w:type="spellStart"/>
      <w:r w:rsidRPr="00975089">
        <w:rPr>
          <w:i/>
          <w:color w:val="595454" w:themeColor="text1"/>
          <w:sz w:val="18"/>
          <w:szCs w:val="18"/>
        </w:rPr>
        <w:t>Scialacqua</w:t>
      </w:r>
      <w:proofErr w:type="spellEnd"/>
      <w:r w:rsidRPr="00975089">
        <w:rPr>
          <w:i/>
          <w:color w:val="595454" w:themeColor="text1"/>
          <w:sz w:val="18"/>
          <w:szCs w:val="18"/>
        </w:rPr>
        <w:t xml:space="preserve"> v Italy  (1998) 26 EHRR 164</w:t>
      </w:r>
    </w:p>
  </w:footnote>
  <w:footnote w:id="22">
    <w:p w14:paraId="469C8B52" w14:textId="77777777" w:rsidR="00975089" w:rsidRPr="0053435B" w:rsidRDefault="00975089" w:rsidP="00975089">
      <w:pPr>
        <w:pStyle w:val="FootnoteText"/>
        <w:contextualSpacing/>
        <w:rPr>
          <w:sz w:val="18"/>
          <w:szCs w:val="18"/>
        </w:rPr>
      </w:pPr>
      <w:r w:rsidRPr="00975089">
        <w:rPr>
          <w:rStyle w:val="FootnoteReference"/>
          <w:color w:val="595454" w:themeColor="text1"/>
          <w:sz w:val="18"/>
          <w:szCs w:val="18"/>
        </w:rPr>
        <w:footnoteRef/>
      </w:r>
      <w:r w:rsidRPr="00975089">
        <w:rPr>
          <w:color w:val="595454" w:themeColor="text1"/>
          <w:sz w:val="18"/>
          <w:szCs w:val="18"/>
        </w:rPr>
        <w:t xml:space="preserve"> </w:t>
      </w:r>
      <w:r w:rsidRPr="00975089">
        <w:rPr>
          <w:i/>
          <w:color w:val="595454" w:themeColor="text1"/>
          <w:sz w:val="18"/>
          <w:szCs w:val="18"/>
        </w:rPr>
        <w:t>See</w:t>
      </w:r>
      <w:r w:rsidRPr="00975089">
        <w:rPr>
          <w:color w:val="595454" w:themeColor="text1"/>
          <w:sz w:val="18"/>
          <w:szCs w:val="18"/>
        </w:rPr>
        <w:t>, for example,</w:t>
      </w:r>
      <w:r w:rsidRPr="00975089">
        <w:rPr>
          <w:i/>
          <w:color w:val="595454" w:themeColor="text1"/>
          <w:sz w:val="18"/>
          <w:szCs w:val="18"/>
        </w:rPr>
        <w:t xml:space="preserve"> Belgian Linguistic </w:t>
      </w:r>
      <w:r w:rsidRPr="00975089">
        <w:rPr>
          <w:color w:val="595454" w:themeColor="text1"/>
          <w:sz w:val="18"/>
          <w:szCs w:val="18"/>
        </w:rPr>
        <w:t>Case</w:t>
      </w:r>
      <w:r w:rsidRPr="00975089">
        <w:rPr>
          <w:i/>
          <w:color w:val="595454" w:themeColor="text1"/>
          <w:sz w:val="18"/>
          <w:szCs w:val="18"/>
        </w:rPr>
        <w:t xml:space="preserve"> </w:t>
      </w:r>
      <w:r w:rsidRPr="00975089">
        <w:rPr>
          <w:color w:val="595454" w:themeColor="text1"/>
          <w:sz w:val="18"/>
          <w:szCs w:val="18"/>
        </w:rPr>
        <w:t>(No 2) (1968) I EHRR 252</w:t>
      </w:r>
    </w:p>
  </w:footnote>
  <w:footnote w:id="23">
    <w:p w14:paraId="7E99A0D4" w14:textId="77777777" w:rsidR="00975089" w:rsidRPr="00975089" w:rsidRDefault="00975089" w:rsidP="00975089">
      <w:pPr>
        <w:pStyle w:val="FootnoteText"/>
        <w:contextualSpacing/>
        <w:rPr>
          <w:color w:val="595454" w:themeColor="text1"/>
          <w:sz w:val="18"/>
          <w:szCs w:val="18"/>
        </w:rPr>
      </w:pPr>
      <w:r w:rsidRPr="00975089">
        <w:rPr>
          <w:rStyle w:val="FootnoteReference"/>
          <w:color w:val="595454" w:themeColor="text1"/>
          <w:sz w:val="18"/>
          <w:szCs w:val="18"/>
        </w:rPr>
        <w:footnoteRef/>
      </w:r>
      <w:r w:rsidRPr="00975089">
        <w:rPr>
          <w:color w:val="595454" w:themeColor="text1"/>
          <w:sz w:val="18"/>
          <w:szCs w:val="18"/>
        </w:rPr>
        <w:t xml:space="preserve"> </w:t>
      </w:r>
      <w:r w:rsidRPr="00975089">
        <w:rPr>
          <w:i/>
          <w:color w:val="595454" w:themeColor="text1"/>
          <w:sz w:val="18"/>
          <w:szCs w:val="18"/>
        </w:rPr>
        <w:t>R (DA) v Secretary of State for Work and Pensions</w:t>
      </w:r>
      <w:r w:rsidRPr="00975089">
        <w:rPr>
          <w:color w:val="595454" w:themeColor="text1"/>
          <w:sz w:val="18"/>
          <w:szCs w:val="18"/>
        </w:rPr>
        <w:t xml:space="preserve"> [2019] UKSC 21</w:t>
      </w:r>
    </w:p>
  </w:footnote>
  <w:footnote w:id="24">
    <w:p w14:paraId="66BBCF43" w14:textId="77777777" w:rsidR="00975089" w:rsidRPr="00975089" w:rsidRDefault="00975089" w:rsidP="00975089">
      <w:pPr>
        <w:pStyle w:val="FootnoteText"/>
        <w:contextualSpacing/>
        <w:rPr>
          <w:color w:val="595454" w:themeColor="text1"/>
          <w:sz w:val="18"/>
          <w:szCs w:val="18"/>
        </w:rPr>
      </w:pPr>
      <w:r w:rsidRPr="00975089">
        <w:rPr>
          <w:rStyle w:val="FootnoteReference"/>
          <w:color w:val="595454" w:themeColor="text1"/>
          <w:sz w:val="18"/>
          <w:szCs w:val="18"/>
        </w:rPr>
        <w:footnoteRef/>
      </w:r>
      <w:r w:rsidRPr="00975089">
        <w:rPr>
          <w:color w:val="595454" w:themeColor="text1"/>
          <w:sz w:val="18"/>
          <w:szCs w:val="18"/>
        </w:rPr>
        <w:t xml:space="preserve"> </w:t>
      </w:r>
      <w:r w:rsidRPr="00975089">
        <w:rPr>
          <w:i/>
          <w:iCs/>
          <w:color w:val="595454" w:themeColor="text1"/>
          <w:sz w:val="18"/>
          <w:szCs w:val="18"/>
        </w:rPr>
        <w:t>R (</w:t>
      </w:r>
      <w:proofErr w:type="spellStart"/>
      <w:r w:rsidRPr="00975089">
        <w:rPr>
          <w:i/>
          <w:iCs/>
          <w:color w:val="595454" w:themeColor="text1"/>
          <w:sz w:val="18"/>
          <w:szCs w:val="18"/>
        </w:rPr>
        <w:t>otao</w:t>
      </w:r>
      <w:proofErr w:type="spellEnd"/>
      <w:r w:rsidRPr="00975089">
        <w:rPr>
          <w:i/>
          <w:iCs/>
          <w:color w:val="595454" w:themeColor="text1"/>
          <w:sz w:val="18"/>
          <w:szCs w:val="18"/>
        </w:rPr>
        <w:t xml:space="preserve"> Elizabeth Rose) v Thanet CCG </w:t>
      </w:r>
      <w:r w:rsidRPr="00975089">
        <w:rPr>
          <w:color w:val="595454" w:themeColor="text1"/>
          <w:sz w:val="18"/>
          <w:szCs w:val="18"/>
        </w:rPr>
        <w:t>[2014] EWHC 1182 (Admin)</w:t>
      </w:r>
    </w:p>
  </w:footnote>
  <w:footnote w:id="25">
    <w:p w14:paraId="4E0B2D0F" w14:textId="77777777" w:rsidR="00975089" w:rsidRPr="00330A21" w:rsidRDefault="00975089" w:rsidP="00975089">
      <w:pPr>
        <w:pStyle w:val="FootnoteText"/>
        <w:contextualSpacing/>
        <w:rPr>
          <w:sz w:val="18"/>
          <w:szCs w:val="18"/>
        </w:rPr>
      </w:pPr>
      <w:r w:rsidRPr="00975089">
        <w:rPr>
          <w:rStyle w:val="FootnoteReference"/>
          <w:color w:val="595454" w:themeColor="text1"/>
          <w:sz w:val="18"/>
          <w:szCs w:val="18"/>
        </w:rPr>
        <w:footnoteRef/>
      </w:r>
      <w:r w:rsidRPr="00975089">
        <w:rPr>
          <w:color w:val="595454" w:themeColor="text1"/>
          <w:sz w:val="18"/>
          <w:szCs w:val="18"/>
        </w:rPr>
        <w:t xml:space="preserve"> </w:t>
      </w:r>
      <w:r w:rsidRPr="00975089">
        <w:rPr>
          <w:i/>
          <w:color w:val="595454" w:themeColor="text1"/>
          <w:sz w:val="18"/>
          <w:szCs w:val="18"/>
        </w:rPr>
        <w:t>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BF5EE" w14:textId="77777777" w:rsidR="002E3FCA" w:rsidRDefault="002E3FCA" w:rsidP="002E3FCA">
    <w:pPr>
      <w:pStyle w:val="Header"/>
    </w:pPr>
    <w:r>
      <w:rPr>
        <w:noProof/>
        <w:lang w:val="en-GB" w:eastAsia="en-GB"/>
      </w:rPr>
      <mc:AlternateContent>
        <mc:Choice Requires="wps">
          <w:drawing>
            <wp:anchor distT="0" distB="0" distL="114300" distR="114300" simplePos="0" relativeHeight="251662336" behindDoc="0" locked="0" layoutInCell="1" allowOverlap="1" wp14:anchorId="631BF602" wp14:editId="631BF603">
              <wp:simplePos x="0" y="0"/>
              <wp:positionH relativeFrom="page">
                <wp:posOffset>431800</wp:posOffset>
              </wp:positionH>
              <wp:positionV relativeFrom="page">
                <wp:posOffset>1617388</wp:posOffset>
              </wp:positionV>
              <wp:extent cx="1566000" cy="540000"/>
              <wp:effectExtent l="0" t="0" r="8890" b="6350"/>
              <wp:wrapNone/>
              <wp:docPr id="4" name="Sidebar"/>
              <wp:cNvGraphicFramePr/>
              <a:graphic xmlns:a="http://schemas.openxmlformats.org/drawingml/2006/main">
                <a:graphicData uri="http://schemas.microsoft.com/office/word/2010/wordprocessingShape">
                  <wps:wsp>
                    <wps:cNvSpPr txBox="1"/>
                    <wps:spPr>
                      <a:xfrm>
                        <a:off x="0" y="0"/>
                        <a:ext cx="1566000" cy="540000"/>
                      </a:xfrm>
                      <a:prstGeom prst="rect">
                        <a:avLst/>
                      </a:prstGeom>
                      <a:noFill/>
                      <a:ln w="6350">
                        <a:noFill/>
                      </a:ln>
                    </wps:spPr>
                    <wps:txbx>
                      <w:txbxContent>
                        <w:p w14:paraId="631BF60C" w14:textId="35B635E3" w:rsidR="002E3FCA" w:rsidRDefault="002E3FCA" w:rsidP="002E3FCA">
                          <w:pPr>
                            <w:rPr>
                              <w:noProof/>
                            </w:rPr>
                          </w:pPr>
                          <w:r>
                            <w:t xml:space="preserve">Page </w:t>
                          </w:r>
                          <w:r>
                            <w:fldChar w:fldCharType="begin"/>
                          </w:r>
                          <w:r>
                            <w:instrText xml:space="preserve"> PAGE </w:instrText>
                          </w:r>
                          <w:r>
                            <w:fldChar w:fldCharType="separate"/>
                          </w:r>
                          <w:r w:rsidR="00EA57EA">
                            <w:rPr>
                              <w:noProof/>
                            </w:rPr>
                            <w:t>2</w:t>
                          </w:r>
                          <w:r>
                            <w:fldChar w:fldCharType="end"/>
                          </w:r>
                          <w:r>
                            <w:t>/</w:t>
                          </w:r>
                          <w:r w:rsidR="00A16F29">
                            <w:fldChar w:fldCharType="begin"/>
                          </w:r>
                          <w:r w:rsidR="00A16F29">
                            <w:instrText xml:space="preserve"> NUMPAGES </w:instrText>
                          </w:r>
                          <w:r w:rsidR="00A16F29">
                            <w:fldChar w:fldCharType="separate"/>
                          </w:r>
                          <w:r w:rsidR="00EA57EA">
                            <w:rPr>
                              <w:noProof/>
                            </w:rPr>
                            <w:t>16</w:t>
                          </w:r>
                          <w:r w:rsidR="00A16F29">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1BF602" id="_x0000_t202" coordsize="21600,21600" o:spt="202" path="m,l,21600r21600,l21600,xe">
              <v:stroke joinstyle="miter"/>
              <v:path gradientshapeok="t" o:connecttype="rect"/>
            </v:shapetype>
            <v:shape id="Sidebar" o:spid="_x0000_s1026" type="#_x0000_t202" style="position:absolute;margin-left:34pt;margin-top:127.35pt;width:123.3pt;height:4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" filled="f" stroked="f" strokeweight=".5pt">
              <v:textbox inset="0,0,0,0">
                <w:txbxContent>
                  <w:p w14:paraId="631BF60C" w14:textId="35B635E3" w:rsidR="002E3FCA" w:rsidRDefault="002E3FCA" w:rsidP="002E3FCA">
                    <w:pPr>
                      <w:rPr>
                        <w:noProof/>
                      </w:rPr>
                    </w:pPr>
                    <w:r>
                      <w:t xml:space="preserve">Page </w:t>
                    </w:r>
                    <w:r>
                      <w:fldChar w:fldCharType="begin"/>
                    </w:r>
                    <w:r>
                      <w:instrText xml:space="preserve"> PAGE </w:instrText>
                    </w:r>
                    <w:r>
                      <w:fldChar w:fldCharType="separate"/>
                    </w:r>
                    <w:r w:rsidR="00EA57EA">
                      <w:rPr>
                        <w:noProof/>
                      </w:rPr>
                      <w:t>2</w:t>
                    </w:r>
                    <w:r>
                      <w:fldChar w:fldCharType="end"/>
                    </w:r>
                    <w:r>
                      <w:t>/</w:t>
                    </w:r>
                    <w:r w:rsidR="00A16F29">
                      <w:fldChar w:fldCharType="begin"/>
                    </w:r>
                    <w:r w:rsidR="00A16F29">
                      <w:instrText xml:space="preserve"> NUMPAGES </w:instrText>
                    </w:r>
                    <w:r w:rsidR="00A16F29">
                      <w:fldChar w:fldCharType="separate"/>
                    </w:r>
                    <w:r w:rsidR="00EA57EA">
                      <w:rPr>
                        <w:noProof/>
                      </w:rPr>
                      <w:t>16</w:t>
                    </w:r>
                    <w:r w:rsidR="00A16F29">
                      <w:rPr>
                        <w:noProof/>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BF5EF" w14:textId="77777777" w:rsidR="003E27D3" w:rsidRPr="00101463" w:rsidRDefault="007E4044" w:rsidP="00E1728F">
    <w:pPr>
      <w:pStyle w:val="Header"/>
      <w:jc w:val="right"/>
    </w:pPr>
    <w:r w:rsidRPr="007B7D39">
      <w:rPr>
        <w:noProof/>
        <w:lang w:val="en-GB" w:eastAsia="en-GB"/>
      </w:rPr>
      <w:drawing>
        <wp:anchor distT="0" distB="0" distL="114300" distR="114300" simplePos="0" relativeHeight="251658240" behindDoc="0" locked="0" layoutInCell="1" allowOverlap="1" wp14:anchorId="631BF604" wp14:editId="631BF605">
          <wp:simplePos x="0" y="0"/>
          <wp:positionH relativeFrom="page">
            <wp:posOffset>257853</wp:posOffset>
          </wp:positionH>
          <wp:positionV relativeFrom="page">
            <wp:posOffset>167005</wp:posOffset>
          </wp:positionV>
          <wp:extent cx="2642235" cy="667385"/>
          <wp:effectExtent l="0" t="0" r="0" b="0"/>
          <wp:wrapNone/>
          <wp:docPr id="5" name="Bristol Myers Squibb" descr="Bristol Myers Squibb">
            <a:extLst xmlns:a="http://schemas.openxmlformats.org/drawingml/2006/main">
              <a:ext uri="{FF2B5EF4-FFF2-40B4-BE49-F238E27FC236}">
                <a16:creationId xmlns:a16="http://schemas.microsoft.com/office/drawing/2014/main" id="{B7697988-37C6-7C4A-AA57-C36971D11E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istol Myers Squibb" descr="Bristol Myers Squibb">
                    <a:extLst>
                      <a:ext uri="{FF2B5EF4-FFF2-40B4-BE49-F238E27FC236}">
                        <a16:creationId xmlns:a16="http://schemas.microsoft.com/office/drawing/2014/main" id="{B7697988-37C6-7C4A-AA57-C36971D11EE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black">
                  <a:xfrm>
                    <a:off x="0" y="0"/>
                    <a:ext cx="2642235" cy="667385"/>
                  </a:xfrm>
                  <a:prstGeom prst="rect">
                    <a:avLst/>
                  </a:prstGeom>
                  <a:noFill/>
                </pic:spPr>
              </pic:pic>
            </a:graphicData>
          </a:graphic>
          <wp14:sizeRelH relativeFrom="margin">
            <wp14:pctWidth>0</wp14:pctWidth>
          </wp14:sizeRelH>
          <wp14:sizeRelV relativeFrom="margin">
            <wp14:pctHeight>0</wp14:pctHeight>
          </wp14:sizeRelV>
        </wp:anchor>
      </w:drawing>
    </w:r>
    <w:r w:rsidR="008532DE">
      <w:rPr>
        <w:noProof/>
        <w:lang w:val="en-GB" w:eastAsia="en-GB"/>
      </w:rPr>
      <mc:AlternateContent>
        <mc:Choice Requires="wps">
          <w:drawing>
            <wp:anchor distT="0" distB="0" distL="114300" distR="114300" simplePos="0" relativeHeight="251659264" behindDoc="0" locked="0" layoutInCell="1" allowOverlap="1" wp14:anchorId="631BF606" wp14:editId="631BF607">
              <wp:simplePos x="0" y="0"/>
              <wp:positionH relativeFrom="page">
                <wp:posOffset>0</wp:posOffset>
              </wp:positionH>
              <wp:positionV relativeFrom="page">
                <wp:posOffset>3564255</wp:posOffset>
              </wp:positionV>
              <wp:extent cx="180000" cy="0"/>
              <wp:effectExtent l="12700" t="12700" r="23495" b="25400"/>
              <wp:wrapNone/>
              <wp:docPr id="1" name="Fold Lin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180000" cy="0"/>
                      </a:xfrm>
                      <a:prstGeom prst="line">
                        <a:avLst/>
                      </a:prstGeom>
                      <a:ln w="6350" cap="sq">
                        <a:solidFill>
                          <a:srgbClr val="BE2BBB"/>
                        </a:solidFill>
                      </a:ln>
                    </wps:spPr>
                    <wps:style>
                      <a:lnRef idx="1">
                        <a:schemeClr val="accent1"/>
                      </a:lnRef>
                      <a:fillRef idx="0">
                        <a:schemeClr val="accent1"/>
                      </a:fillRef>
                      <a:effectRef idx="0">
                        <a:srgbClr val="000000"/>
                      </a:effectRef>
                      <a:fontRef idx="minor">
                        <a:schemeClr val="lt1"/>
                      </a:fontRef>
                    </wps:style>
                    <wps:bodyPr/>
                  </wps:wsp>
                </a:graphicData>
              </a:graphic>
              <wp14:sizeRelH relativeFrom="margin">
                <wp14:pctWidth>0</wp14:pctWidth>
              </wp14:sizeRelH>
            </wp:anchor>
          </w:drawing>
        </mc:Choice>
        <mc:Fallback>
          <w:pict>
            <v:line w14:anchorId="124F1B4E" id="Fold Line" o:spid="_x0000_s1026" style="position:absolute;flip:x;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80.65pt" to="14.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" strokecolor="#be2bbb" strokeweight=".5pt">
              <v:stroke endcap="square"/>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A653B"/>
    <w:multiLevelType w:val="hybridMultilevel"/>
    <w:tmpl w:val="5FFCCEC0"/>
    <w:lvl w:ilvl="0" w:tplc="F476E19A">
      <w:start w:val="1"/>
      <w:numFmt w:val="decimal"/>
      <w:pStyle w:val="NumberedParagraphSingle"/>
      <w:lvlText w:val="%1."/>
      <w:lvlJc w:val="left"/>
      <w:pPr>
        <w:ind w:left="0" w:firstLine="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5679B"/>
    <w:multiLevelType w:val="multilevel"/>
    <w:tmpl w:val="E7541A2A"/>
    <w:numStyleLink w:val="ListNumbers"/>
  </w:abstractNum>
  <w:abstractNum w:abstractNumId="2" w15:restartNumberingAfterBreak="0">
    <w:nsid w:val="0A4811F7"/>
    <w:multiLevelType w:val="hybridMultilevel"/>
    <w:tmpl w:val="DF205194"/>
    <w:lvl w:ilvl="0" w:tplc="9C085498">
      <w:start w:val="1"/>
      <w:numFmt w:val="upperLetter"/>
      <w:pStyle w:val="LetteredParagraphSingle"/>
      <w:lvlText w:val="%1."/>
      <w:lvlJc w:val="left"/>
      <w:pPr>
        <w:ind w:left="0" w:firstLine="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909FB"/>
    <w:multiLevelType w:val="hybridMultilevel"/>
    <w:tmpl w:val="E93C614C"/>
    <w:lvl w:ilvl="0" w:tplc="F9E4692E">
      <w:start w:val="1"/>
      <w:numFmt w:val="lowerRoman"/>
      <w:pStyle w:val="Heading4"/>
      <w:lvlText w:val="(%1)"/>
      <w:lvlJc w:val="right"/>
      <w:pPr>
        <w:ind w:left="28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8090019" w:tentative="1">
      <w:start w:val="1"/>
      <w:numFmt w:val="lowerLetter"/>
      <w:lvlText w:val="%2."/>
      <w:lvlJc w:val="left"/>
      <w:pPr>
        <w:ind w:left="3600" w:hanging="360"/>
      </w:pPr>
    </w:lvl>
    <w:lvl w:ilvl="2" w:tplc="1809001B" w:tentative="1">
      <w:start w:val="1"/>
      <w:numFmt w:val="lowerRoman"/>
      <w:lvlText w:val="%3."/>
      <w:lvlJc w:val="right"/>
      <w:pPr>
        <w:ind w:left="4320" w:hanging="180"/>
      </w:pPr>
    </w:lvl>
    <w:lvl w:ilvl="3" w:tplc="1809000F" w:tentative="1">
      <w:start w:val="1"/>
      <w:numFmt w:val="decimal"/>
      <w:lvlText w:val="%4."/>
      <w:lvlJc w:val="left"/>
      <w:pPr>
        <w:ind w:left="5040" w:hanging="360"/>
      </w:pPr>
    </w:lvl>
    <w:lvl w:ilvl="4" w:tplc="18090019" w:tentative="1">
      <w:start w:val="1"/>
      <w:numFmt w:val="lowerLetter"/>
      <w:lvlText w:val="%5."/>
      <w:lvlJc w:val="left"/>
      <w:pPr>
        <w:ind w:left="5760" w:hanging="360"/>
      </w:pPr>
    </w:lvl>
    <w:lvl w:ilvl="5" w:tplc="1809001B" w:tentative="1">
      <w:start w:val="1"/>
      <w:numFmt w:val="lowerRoman"/>
      <w:lvlText w:val="%6."/>
      <w:lvlJc w:val="right"/>
      <w:pPr>
        <w:ind w:left="6480" w:hanging="180"/>
      </w:pPr>
    </w:lvl>
    <w:lvl w:ilvl="6" w:tplc="1809000F" w:tentative="1">
      <w:start w:val="1"/>
      <w:numFmt w:val="decimal"/>
      <w:lvlText w:val="%7."/>
      <w:lvlJc w:val="left"/>
      <w:pPr>
        <w:ind w:left="7200" w:hanging="360"/>
      </w:pPr>
    </w:lvl>
    <w:lvl w:ilvl="7" w:tplc="18090019" w:tentative="1">
      <w:start w:val="1"/>
      <w:numFmt w:val="lowerLetter"/>
      <w:lvlText w:val="%8."/>
      <w:lvlJc w:val="left"/>
      <w:pPr>
        <w:ind w:left="7920" w:hanging="360"/>
      </w:pPr>
    </w:lvl>
    <w:lvl w:ilvl="8" w:tplc="1809001B" w:tentative="1">
      <w:start w:val="1"/>
      <w:numFmt w:val="lowerRoman"/>
      <w:lvlText w:val="%9."/>
      <w:lvlJc w:val="right"/>
      <w:pPr>
        <w:ind w:left="8640" w:hanging="180"/>
      </w:pPr>
    </w:lvl>
  </w:abstractNum>
  <w:abstractNum w:abstractNumId="4" w15:restartNumberingAfterBreak="0">
    <w:nsid w:val="154F2170"/>
    <w:multiLevelType w:val="hybridMultilevel"/>
    <w:tmpl w:val="20A80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8D5EE3"/>
    <w:multiLevelType w:val="hybridMultilevel"/>
    <w:tmpl w:val="012AE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960B76"/>
    <w:multiLevelType w:val="hybridMultilevel"/>
    <w:tmpl w:val="DCD2F0EA"/>
    <w:lvl w:ilvl="0" w:tplc="55062CD8">
      <w:start w:val="1"/>
      <w:numFmt w:val="upperLetter"/>
      <w:pStyle w:val="LetteredParagraphDouble"/>
      <w:lvlText w:val="%1."/>
      <w:lvlJc w:val="left"/>
      <w:pPr>
        <w:ind w:left="0" w:firstLine="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CB4AB4"/>
    <w:multiLevelType w:val="hybridMultilevel"/>
    <w:tmpl w:val="5AD06DB0"/>
    <w:lvl w:ilvl="0" w:tplc="EA067F20">
      <w:start w:val="1"/>
      <w:numFmt w:val="decimal"/>
      <w:lvlText w:val="%1."/>
      <w:lvlJc w:val="left"/>
      <w:pPr>
        <w:tabs>
          <w:tab w:val="num" w:pos="720"/>
        </w:tabs>
        <w:ind w:left="720" w:hanging="720"/>
      </w:pPr>
    </w:lvl>
    <w:lvl w:ilvl="1" w:tplc="627E0154">
      <w:start w:val="1"/>
      <w:numFmt w:val="decimal"/>
      <w:lvlText w:val="%2."/>
      <w:lvlJc w:val="left"/>
      <w:pPr>
        <w:tabs>
          <w:tab w:val="num" w:pos="1440"/>
        </w:tabs>
        <w:ind w:left="1440" w:hanging="720"/>
      </w:pPr>
    </w:lvl>
    <w:lvl w:ilvl="2" w:tplc="6B52B624">
      <w:start w:val="1"/>
      <w:numFmt w:val="decimal"/>
      <w:lvlText w:val="%3."/>
      <w:lvlJc w:val="left"/>
      <w:pPr>
        <w:tabs>
          <w:tab w:val="num" w:pos="2160"/>
        </w:tabs>
        <w:ind w:left="2160" w:hanging="720"/>
      </w:pPr>
    </w:lvl>
    <w:lvl w:ilvl="3" w:tplc="2E84C57E">
      <w:start w:val="1"/>
      <w:numFmt w:val="decimal"/>
      <w:lvlText w:val="%4."/>
      <w:lvlJc w:val="left"/>
      <w:pPr>
        <w:tabs>
          <w:tab w:val="num" w:pos="2880"/>
        </w:tabs>
        <w:ind w:left="2880" w:hanging="720"/>
      </w:pPr>
    </w:lvl>
    <w:lvl w:ilvl="4" w:tplc="254C3BFC">
      <w:start w:val="1"/>
      <w:numFmt w:val="decimal"/>
      <w:lvlText w:val="%5."/>
      <w:lvlJc w:val="left"/>
      <w:pPr>
        <w:tabs>
          <w:tab w:val="num" w:pos="3600"/>
        </w:tabs>
        <w:ind w:left="3600" w:hanging="720"/>
      </w:pPr>
    </w:lvl>
    <w:lvl w:ilvl="5" w:tplc="C302DE5C">
      <w:start w:val="1"/>
      <w:numFmt w:val="decimal"/>
      <w:lvlText w:val="%6."/>
      <w:lvlJc w:val="left"/>
      <w:pPr>
        <w:tabs>
          <w:tab w:val="num" w:pos="4320"/>
        </w:tabs>
        <w:ind w:left="4320" w:hanging="720"/>
      </w:pPr>
    </w:lvl>
    <w:lvl w:ilvl="6" w:tplc="1084DB34">
      <w:start w:val="1"/>
      <w:numFmt w:val="decimal"/>
      <w:lvlText w:val="%7."/>
      <w:lvlJc w:val="left"/>
      <w:pPr>
        <w:tabs>
          <w:tab w:val="num" w:pos="5040"/>
        </w:tabs>
        <w:ind w:left="5040" w:hanging="720"/>
      </w:pPr>
    </w:lvl>
    <w:lvl w:ilvl="7" w:tplc="EAFC58EA">
      <w:start w:val="1"/>
      <w:numFmt w:val="decimal"/>
      <w:lvlText w:val="%8."/>
      <w:lvlJc w:val="left"/>
      <w:pPr>
        <w:tabs>
          <w:tab w:val="num" w:pos="5760"/>
        </w:tabs>
        <w:ind w:left="5760" w:hanging="720"/>
      </w:pPr>
    </w:lvl>
    <w:lvl w:ilvl="8" w:tplc="89BEC100">
      <w:start w:val="1"/>
      <w:numFmt w:val="decimal"/>
      <w:lvlText w:val="%9."/>
      <w:lvlJc w:val="left"/>
      <w:pPr>
        <w:tabs>
          <w:tab w:val="num" w:pos="6480"/>
        </w:tabs>
        <w:ind w:left="6480" w:hanging="720"/>
      </w:pPr>
    </w:lvl>
  </w:abstractNum>
  <w:abstractNum w:abstractNumId="8" w15:restartNumberingAfterBreak="0">
    <w:nsid w:val="1CF80B9C"/>
    <w:multiLevelType w:val="multilevel"/>
    <w:tmpl w:val="CC7E72DE"/>
    <w:lvl w:ilvl="0">
      <w:start w:val="1"/>
      <w:numFmt w:val="bullet"/>
      <w:pStyle w:val="Bullets"/>
      <w:lvlText w:val="•"/>
      <w:lvlJc w:val="left"/>
      <w:pPr>
        <w:ind w:left="216" w:hanging="216"/>
      </w:pPr>
      <w:rPr>
        <w:rFonts w:ascii="Trebuchet MS" w:hAnsi="Trebuchet MS" w:hint="default"/>
      </w:rPr>
    </w:lvl>
    <w:lvl w:ilvl="1">
      <w:start w:val="1"/>
      <w:numFmt w:val="bullet"/>
      <w:lvlText w:val="—"/>
      <w:lvlJc w:val="left"/>
      <w:pPr>
        <w:ind w:left="432" w:hanging="216"/>
      </w:pPr>
      <w:rPr>
        <w:rFonts w:ascii="Trebuchet MS" w:hAnsi="Trebuchet MS" w:hint="default"/>
      </w:rPr>
    </w:lvl>
    <w:lvl w:ilvl="2">
      <w:start w:val="1"/>
      <w:numFmt w:val="bullet"/>
      <w:lvlText w:val="—"/>
      <w:lvlJc w:val="left"/>
      <w:pPr>
        <w:ind w:left="648" w:hanging="216"/>
      </w:pPr>
      <w:rPr>
        <w:rFonts w:ascii="Trebuchet MS" w:hAnsi="Trebuchet MS" w:hint="default"/>
      </w:rPr>
    </w:lvl>
    <w:lvl w:ilvl="3">
      <w:start w:val="1"/>
      <w:numFmt w:val="bullet"/>
      <w:lvlText w:val="—"/>
      <w:lvlJc w:val="left"/>
      <w:pPr>
        <w:ind w:left="864" w:hanging="216"/>
      </w:pPr>
      <w:rPr>
        <w:rFonts w:ascii="Trebuchet MS" w:hAnsi="Trebuchet MS" w:hint="default"/>
      </w:rPr>
    </w:lvl>
    <w:lvl w:ilvl="4">
      <w:start w:val="1"/>
      <w:numFmt w:val="bullet"/>
      <w:lvlText w:val="—"/>
      <w:lvlJc w:val="left"/>
      <w:pPr>
        <w:ind w:left="1080" w:hanging="216"/>
      </w:pPr>
      <w:rPr>
        <w:rFonts w:ascii="Trebuchet MS" w:hAnsi="Trebuchet MS" w:hint="default"/>
      </w:rPr>
    </w:lvl>
    <w:lvl w:ilvl="5">
      <w:start w:val="1"/>
      <w:numFmt w:val="bullet"/>
      <w:lvlText w:val="—"/>
      <w:lvlJc w:val="left"/>
      <w:pPr>
        <w:ind w:left="1296" w:hanging="216"/>
      </w:pPr>
      <w:rPr>
        <w:rFonts w:ascii="Trebuchet MS" w:hAnsi="Trebuchet MS" w:hint="default"/>
      </w:rPr>
    </w:lvl>
    <w:lvl w:ilvl="6">
      <w:start w:val="1"/>
      <w:numFmt w:val="bullet"/>
      <w:lvlText w:val="—"/>
      <w:lvlJc w:val="left"/>
      <w:pPr>
        <w:ind w:left="1512" w:hanging="216"/>
      </w:pPr>
      <w:rPr>
        <w:rFonts w:ascii="Trebuchet MS" w:hAnsi="Trebuchet MS" w:hint="default"/>
      </w:rPr>
    </w:lvl>
    <w:lvl w:ilvl="7">
      <w:start w:val="1"/>
      <w:numFmt w:val="bullet"/>
      <w:lvlText w:val="—"/>
      <w:lvlJc w:val="left"/>
      <w:pPr>
        <w:ind w:left="1728" w:hanging="216"/>
      </w:pPr>
      <w:rPr>
        <w:rFonts w:ascii="Trebuchet MS" w:hAnsi="Trebuchet MS" w:hint="default"/>
      </w:rPr>
    </w:lvl>
    <w:lvl w:ilvl="8">
      <w:start w:val="1"/>
      <w:numFmt w:val="bullet"/>
      <w:lvlText w:val="—"/>
      <w:lvlJc w:val="left"/>
      <w:pPr>
        <w:ind w:left="1944" w:hanging="216"/>
      </w:pPr>
      <w:rPr>
        <w:rFonts w:ascii="Trebuchet MS" w:hAnsi="Trebuchet MS" w:hint="default"/>
      </w:rPr>
    </w:lvl>
  </w:abstractNum>
  <w:abstractNum w:abstractNumId="9" w15:restartNumberingAfterBreak="0">
    <w:nsid w:val="226B09BA"/>
    <w:multiLevelType w:val="hybridMultilevel"/>
    <w:tmpl w:val="99746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640AD5"/>
    <w:multiLevelType w:val="hybridMultilevel"/>
    <w:tmpl w:val="746E13F0"/>
    <w:lvl w:ilvl="0" w:tplc="86D880D2">
      <w:numFmt w:val="bullet"/>
      <w:lvlText w:val="•"/>
      <w:lvlJc w:val="left"/>
      <w:pPr>
        <w:ind w:left="720" w:hanging="360"/>
      </w:pPr>
      <w:rPr>
        <w:rFonts w:asciiTheme="minorHAnsi" w:eastAsiaTheme="minorHAnsi" w:hAnsiTheme="minorHAns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FF0437"/>
    <w:multiLevelType w:val="multilevel"/>
    <w:tmpl w:val="E7541A2A"/>
    <w:styleLink w:val="ListNumbers"/>
    <w:lvl w:ilvl="0">
      <w:start w:val="1"/>
      <w:numFmt w:val="decimal"/>
      <w:pStyle w:val="ListNumber"/>
      <w:lvlText w:val="%1."/>
      <w:lvlJc w:val="left"/>
      <w:pPr>
        <w:tabs>
          <w:tab w:val="num" w:pos="360"/>
        </w:tabs>
        <w:ind w:left="360" w:hanging="360"/>
      </w:pPr>
      <w:rPr>
        <w:rFonts w:hint="default"/>
      </w:rPr>
    </w:lvl>
    <w:lvl w:ilvl="1">
      <w:start w:val="1"/>
      <w:numFmt w:val="decimal"/>
      <w:pStyle w:val="ListNumber2"/>
      <w:lvlText w:val="%2."/>
      <w:lvlJc w:val="left"/>
      <w:pPr>
        <w:tabs>
          <w:tab w:val="num" w:pos="720"/>
        </w:tabs>
        <w:ind w:left="720" w:hanging="360"/>
      </w:pPr>
      <w:rPr>
        <w:rFonts w:hint="default"/>
      </w:rPr>
    </w:lvl>
    <w:lvl w:ilvl="2">
      <w:start w:val="1"/>
      <w:numFmt w:val="decimal"/>
      <w:pStyle w:val="ListNumber3"/>
      <w:lvlText w:val="%3."/>
      <w:lvlJc w:val="left"/>
      <w:pPr>
        <w:tabs>
          <w:tab w:val="num" w:pos="1080"/>
        </w:tabs>
        <w:ind w:left="1080" w:hanging="360"/>
      </w:pPr>
      <w:rPr>
        <w:rFonts w:hint="default"/>
      </w:rPr>
    </w:lvl>
    <w:lvl w:ilvl="3">
      <w:start w:val="1"/>
      <w:numFmt w:val="decimal"/>
      <w:pStyle w:val="ListNumber4"/>
      <w:lvlText w:val="%4."/>
      <w:lvlJc w:val="left"/>
      <w:pPr>
        <w:tabs>
          <w:tab w:val="num" w:pos="1440"/>
        </w:tabs>
        <w:ind w:left="1440" w:hanging="360"/>
      </w:pPr>
      <w:rPr>
        <w:rFonts w:hint="default"/>
      </w:rPr>
    </w:lvl>
    <w:lvl w:ilvl="4">
      <w:start w:val="1"/>
      <w:numFmt w:val="decimal"/>
      <w:pStyle w:val="ListNumber5"/>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2" w15:restartNumberingAfterBreak="0">
    <w:nsid w:val="2E0F3282"/>
    <w:multiLevelType w:val="multilevel"/>
    <w:tmpl w:val="9A124A48"/>
    <w:styleLink w:val="CovingtonHeadings"/>
    <w:lvl w:ilvl="0">
      <w:start w:val="1"/>
      <w:numFmt w:val="upperRoman"/>
      <w:pStyle w:val="Heading1"/>
      <w:lvlText w:val="%1."/>
      <w:lvlJc w:val="left"/>
      <w:pPr>
        <w:tabs>
          <w:tab w:val="num" w:pos="720"/>
        </w:tabs>
        <w:ind w:left="720" w:hanging="720"/>
      </w:pPr>
      <w:rPr>
        <w:rFonts w:asciiTheme="majorHAnsi" w:hAnsiTheme="majorHAnsi" w:hint="default"/>
        <w:sz w:val="24"/>
      </w:rPr>
    </w:lvl>
    <w:lvl w:ilvl="1">
      <w:start w:val="1"/>
      <w:numFmt w:val="upperLetter"/>
      <w:pStyle w:val="Heading2"/>
      <w:lvlText w:val="%2."/>
      <w:lvlJc w:val="left"/>
      <w:pPr>
        <w:tabs>
          <w:tab w:val="num" w:pos="1440"/>
        </w:tabs>
        <w:ind w:left="1440" w:hanging="720"/>
      </w:pPr>
      <w:rPr>
        <w:rFonts w:hint="default"/>
      </w:rPr>
    </w:lvl>
    <w:lvl w:ilvl="2">
      <w:start w:val="1"/>
      <w:numFmt w:val="decimal"/>
      <w:pStyle w:val="Heading3"/>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pStyle w:val="Heading5"/>
      <w:lvlText w:val="(%5)"/>
      <w:lvlJc w:val="left"/>
      <w:pPr>
        <w:tabs>
          <w:tab w:val="num" w:pos="3600"/>
        </w:tabs>
        <w:ind w:left="3600" w:hanging="720"/>
      </w:pPr>
      <w:rPr>
        <w:rFonts w:hint="default"/>
      </w:rPr>
    </w:lvl>
    <w:lvl w:ilvl="5">
      <w:start w:val="1"/>
      <w:numFmt w:val="lowerLetter"/>
      <w:pStyle w:val="Heading6"/>
      <w:lvlText w:val="(%6)"/>
      <w:lvlJc w:val="left"/>
      <w:pPr>
        <w:tabs>
          <w:tab w:val="num" w:pos="4320"/>
        </w:tabs>
        <w:ind w:left="4320" w:hanging="720"/>
      </w:pPr>
      <w:rPr>
        <w:rFonts w:hint="default"/>
      </w:rPr>
    </w:lvl>
    <w:lvl w:ilvl="6">
      <w:start w:val="1"/>
      <w:numFmt w:val="lowerRoman"/>
      <w:pStyle w:val="Heading7"/>
      <w:lvlText w:val="(%7)"/>
      <w:lvlJc w:val="left"/>
      <w:pPr>
        <w:tabs>
          <w:tab w:val="num" w:pos="5040"/>
        </w:tabs>
        <w:ind w:left="5040" w:hanging="720"/>
      </w:pPr>
      <w:rPr>
        <w:rFonts w:hint="default"/>
      </w:rPr>
    </w:lvl>
    <w:lvl w:ilvl="7">
      <w:start w:val="1"/>
      <w:numFmt w:val="lowerLetter"/>
      <w:pStyle w:val="Heading8"/>
      <w:lvlText w:val="(%8)"/>
      <w:lvlJc w:val="left"/>
      <w:pPr>
        <w:tabs>
          <w:tab w:val="num" w:pos="5760"/>
        </w:tabs>
        <w:ind w:left="5760" w:hanging="720"/>
      </w:pPr>
      <w:rPr>
        <w:rFonts w:hint="default"/>
      </w:rPr>
    </w:lvl>
    <w:lvl w:ilvl="8">
      <w:start w:val="1"/>
      <w:numFmt w:val="lowerRoman"/>
      <w:pStyle w:val="Heading9"/>
      <w:lvlText w:val="(%9)"/>
      <w:lvlJc w:val="left"/>
      <w:pPr>
        <w:tabs>
          <w:tab w:val="num" w:pos="6480"/>
        </w:tabs>
        <w:ind w:left="6480" w:hanging="720"/>
      </w:pPr>
      <w:rPr>
        <w:rFonts w:hint="default"/>
      </w:rPr>
    </w:lvl>
  </w:abstractNum>
  <w:abstractNum w:abstractNumId="13" w15:restartNumberingAfterBreak="0">
    <w:nsid w:val="37267B4C"/>
    <w:multiLevelType w:val="hybridMultilevel"/>
    <w:tmpl w:val="585C2AAC"/>
    <w:lvl w:ilvl="0" w:tplc="FC82C2EC">
      <w:start w:val="1"/>
      <w:numFmt w:val="decimal"/>
      <w:pStyle w:val="NumberedParagraphDouble"/>
      <w:lvlText w:val="%1."/>
      <w:lvlJc w:val="left"/>
      <w:pPr>
        <w:ind w:left="0" w:firstLine="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D0352A"/>
    <w:multiLevelType w:val="hybridMultilevel"/>
    <w:tmpl w:val="1C28AD60"/>
    <w:styleLink w:val="ListBullets"/>
    <w:lvl w:ilvl="0" w:tplc="7D70D464">
      <w:start w:val="1"/>
      <w:numFmt w:val="bullet"/>
      <w:pStyle w:val="ListBullet"/>
      <w:lvlText w:val=""/>
      <w:lvlJc w:val="left"/>
      <w:pPr>
        <w:tabs>
          <w:tab w:val="num" w:pos="360"/>
        </w:tabs>
        <w:ind w:left="360" w:hanging="360"/>
      </w:pPr>
      <w:rPr>
        <w:rFonts w:ascii="Symbol" w:hAnsi="Symbol" w:hint="default"/>
        <w:color w:val="auto"/>
      </w:rPr>
    </w:lvl>
    <w:lvl w:ilvl="1" w:tplc="AA982DB2">
      <w:start w:val="1"/>
      <w:numFmt w:val="bullet"/>
      <w:pStyle w:val="ListBullet2"/>
      <w:lvlText w:val=""/>
      <w:lvlJc w:val="left"/>
      <w:pPr>
        <w:tabs>
          <w:tab w:val="num" w:pos="720"/>
        </w:tabs>
        <w:ind w:left="720" w:hanging="360"/>
      </w:pPr>
      <w:rPr>
        <w:rFonts w:ascii="Symbol" w:hAnsi="Symbol" w:hint="default"/>
        <w:color w:val="auto"/>
      </w:rPr>
    </w:lvl>
    <w:lvl w:ilvl="2" w:tplc="5CCA4800">
      <w:start w:val="1"/>
      <w:numFmt w:val="bullet"/>
      <w:pStyle w:val="ListBullet3"/>
      <w:lvlText w:val=""/>
      <w:lvlJc w:val="left"/>
      <w:pPr>
        <w:tabs>
          <w:tab w:val="num" w:pos="1080"/>
        </w:tabs>
        <w:ind w:left="1080" w:hanging="360"/>
      </w:pPr>
      <w:rPr>
        <w:rFonts w:ascii="Symbol" w:hAnsi="Symbol" w:hint="default"/>
        <w:color w:val="auto"/>
      </w:rPr>
    </w:lvl>
    <w:lvl w:ilvl="3" w:tplc="871A5FA6">
      <w:start w:val="1"/>
      <w:numFmt w:val="bullet"/>
      <w:pStyle w:val="ListBullet4"/>
      <w:lvlText w:val=""/>
      <w:lvlJc w:val="left"/>
      <w:pPr>
        <w:tabs>
          <w:tab w:val="num" w:pos="1440"/>
        </w:tabs>
        <w:ind w:left="1440" w:hanging="360"/>
      </w:pPr>
      <w:rPr>
        <w:rFonts w:ascii="Symbol" w:hAnsi="Symbol" w:hint="default"/>
        <w:color w:val="auto"/>
      </w:rPr>
    </w:lvl>
    <w:lvl w:ilvl="4" w:tplc="E0BC3248">
      <w:start w:val="1"/>
      <w:numFmt w:val="bullet"/>
      <w:pStyle w:val="ListBullet5"/>
      <w:lvlText w:val=""/>
      <w:lvlJc w:val="left"/>
      <w:pPr>
        <w:tabs>
          <w:tab w:val="num" w:pos="1800"/>
        </w:tabs>
        <w:ind w:left="1800" w:hanging="360"/>
      </w:pPr>
      <w:rPr>
        <w:rFonts w:ascii="Symbol" w:hAnsi="Symbol" w:hint="default"/>
        <w:color w:val="auto"/>
      </w:rPr>
    </w:lvl>
    <w:lvl w:ilvl="5" w:tplc="813A1E86">
      <w:start w:val="1"/>
      <w:numFmt w:val="none"/>
      <w:lvlText w:val=""/>
      <w:lvlJc w:val="left"/>
      <w:pPr>
        <w:tabs>
          <w:tab w:val="num" w:pos="2160"/>
        </w:tabs>
        <w:ind w:left="2160" w:hanging="360"/>
      </w:pPr>
      <w:rPr>
        <w:rFonts w:hint="default"/>
      </w:rPr>
    </w:lvl>
    <w:lvl w:ilvl="6" w:tplc="6E3094D2">
      <w:start w:val="1"/>
      <w:numFmt w:val="none"/>
      <w:lvlText w:val=""/>
      <w:lvlJc w:val="left"/>
      <w:pPr>
        <w:tabs>
          <w:tab w:val="num" w:pos="2520"/>
        </w:tabs>
        <w:ind w:left="2520" w:hanging="360"/>
      </w:pPr>
      <w:rPr>
        <w:rFonts w:hint="default"/>
      </w:rPr>
    </w:lvl>
    <w:lvl w:ilvl="7" w:tplc="AF749C1C">
      <w:start w:val="1"/>
      <w:numFmt w:val="none"/>
      <w:lvlText w:val=""/>
      <w:lvlJc w:val="left"/>
      <w:pPr>
        <w:tabs>
          <w:tab w:val="num" w:pos="2880"/>
        </w:tabs>
        <w:ind w:left="2880" w:hanging="360"/>
      </w:pPr>
      <w:rPr>
        <w:rFonts w:hint="default"/>
      </w:rPr>
    </w:lvl>
    <w:lvl w:ilvl="8" w:tplc="6FE65E6C">
      <w:start w:val="1"/>
      <w:numFmt w:val="none"/>
      <w:lvlText w:val=""/>
      <w:lvlJc w:val="left"/>
      <w:pPr>
        <w:tabs>
          <w:tab w:val="num" w:pos="3240"/>
        </w:tabs>
        <w:ind w:left="3240" w:hanging="360"/>
      </w:pPr>
      <w:rPr>
        <w:rFonts w:hint="default"/>
      </w:rPr>
    </w:lvl>
  </w:abstractNum>
  <w:abstractNum w:abstractNumId="15" w15:restartNumberingAfterBreak="0">
    <w:nsid w:val="49BC6F81"/>
    <w:multiLevelType w:val="hybridMultilevel"/>
    <w:tmpl w:val="EFCE49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01738CC"/>
    <w:multiLevelType w:val="hybridMultilevel"/>
    <w:tmpl w:val="1988E890"/>
    <w:lvl w:ilvl="0" w:tplc="08090017">
      <w:start w:val="1"/>
      <w:numFmt w:val="lowerLetter"/>
      <w:lvlText w:val="%1)"/>
      <w:lvlJc w:val="left"/>
      <w:pPr>
        <w:ind w:left="720" w:hanging="360"/>
      </w:pPr>
    </w:lvl>
    <w:lvl w:ilvl="1" w:tplc="C8CE28F6">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EB3BC8"/>
    <w:multiLevelType w:val="multilevel"/>
    <w:tmpl w:val="2D30FF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3852A25"/>
    <w:multiLevelType w:val="hybridMultilevel"/>
    <w:tmpl w:val="93C69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531461"/>
    <w:multiLevelType w:val="multilevel"/>
    <w:tmpl w:val="1C28AD60"/>
    <w:numStyleLink w:val="ListBullets"/>
  </w:abstractNum>
  <w:num w:numId="1">
    <w:abstractNumId w:val="17"/>
  </w:num>
  <w:num w:numId="2">
    <w:abstractNumId w:val="17"/>
  </w:num>
  <w:num w:numId="3">
    <w:abstractNumId w:val="17"/>
  </w:num>
  <w:num w:numId="4">
    <w:abstractNumId w:val="8"/>
  </w:num>
  <w:num w:numId="5">
    <w:abstractNumId w:val="12"/>
  </w:num>
  <w:num w:numId="6">
    <w:abstractNumId w:val="12"/>
    <w:lvlOverride w:ilvl="0">
      <w:lvl w:ilvl="0">
        <w:start w:val="1"/>
        <w:numFmt w:val="upperRoman"/>
        <w:pStyle w:val="Heading1"/>
        <w:lvlText w:val="%1."/>
        <w:lvlJc w:val="left"/>
        <w:pPr>
          <w:tabs>
            <w:tab w:val="num" w:pos="720"/>
          </w:tabs>
          <w:ind w:left="720" w:hanging="720"/>
        </w:pPr>
        <w:rPr>
          <w:rFonts w:asciiTheme="majorHAnsi" w:hAnsiTheme="majorHAnsi" w:hint="default"/>
          <w:sz w:val="24"/>
        </w:rPr>
      </w:lvl>
    </w:lvlOverride>
    <w:lvlOverride w:ilvl="1">
      <w:lvl w:ilvl="1">
        <w:start w:val="1"/>
        <w:numFmt w:val="upperLetter"/>
        <w:pStyle w:val="Heading2"/>
        <w:lvlText w:val="%2."/>
        <w:lvlJc w:val="left"/>
        <w:pPr>
          <w:tabs>
            <w:tab w:val="num" w:pos="1440"/>
          </w:tabs>
          <w:ind w:left="1440" w:hanging="720"/>
        </w:pPr>
        <w:rPr>
          <w:rFonts w:hint="default"/>
        </w:rPr>
      </w:lvl>
    </w:lvlOverride>
    <w:lvlOverride w:ilvl="2">
      <w:lvl w:ilvl="2">
        <w:start w:val="1"/>
        <w:numFmt w:val="decimal"/>
        <w:pStyle w:val="Heading3"/>
        <w:lvlText w:val="%3."/>
        <w:lvlJc w:val="left"/>
        <w:pPr>
          <w:tabs>
            <w:tab w:val="num" w:pos="2160"/>
          </w:tabs>
          <w:ind w:left="2160" w:hanging="720"/>
        </w:pPr>
        <w:rPr>
          <w:rFonts w:hint="default"/>
        </w:rPr>
      </w:lvl>
    </w:lvlOverride>
    <w:lvlOverride w:ilvl="3">
      <w:lvl w:ilvl="3">
        <w:start w:val="1"/>
        <w:numFmt w:val="lowerLetter"/>
        <w:lvlText w:val="%4)"/>
        <w:lvlJc w:val="left"/>
        <w:pPr>
          <w:tabs>
            <w:tab w:val="num" w:pos="2880"/>
          </w:tabs>
          <w:ind w:left="2880" w:hanging="720"/>
        </w:pPr>
        <w:rPr>
          <w:rFonts w:hint="default"/>
        </w:rPr>
      </w:lvl>
    </w:lvlOverride>
    <w:lvlOverride w:ilvl="4">
      <w:lvl w:ilvl="4">
        <w:start w:val="1"/>
        <w:numFmt w:val="decimal"/>
        <w:pStyle w:val="Heading5"/>
        <w:lvlText w:val="(%5)"/>
        <w:lvlJc w:val="left"/>
        <w:pPr>
          <w:tabs>
            <w:tab w:val="num" w:pos="3600"/>
          </w:tabs>
          <w:ind w:left="3600" w:hanging="720"/>
        </w:pPr>
        <w:rPr>
          <w:rFonts w:hint="default"/>
        </w:rPr>
      </w:lvl>
    </w:lvlOverride>
    <w:lvlOverride w:ilvl="5">
      <w:lvl w:ilvl="5">
        <w:start w:val="1"/>
        <w:numFmt w:val="lowerLetter"/>
        <w:pStyle w:val="Heading6"/>
        <w:lvlText w:val="(%6)"/>
        <w:lvlJc w:val="left"/>
        <w:pPr>
          <w:tabs>
            <w:tab w:val="num" w:pos="4320"/>
          </w:tabs>
          <w:ind w:left="4320" w:hanging="720"/>
        </w:pPr>
        <w:rPr>
          <w:rFonts w:hint="default"/>
        </w:rPr>
      </w:lvl>
    </w:lvlOverride>
    <w:lvlOverride w:ilvl="6">
      <w:lvl w:ilvl="6">
        <w:start w:val="1"/>
        <w:numFmt w:val="lowerRoman"/>
        <w:pStyle w:val="Heading7"/>
        <w:lvlText w:val="(%7)"/>
        <w:lvlJc w:val="left"/>
        <w:pPr>
          <w:tabs>
            <w:tab w:val="num" w:pos="5040"/>
          </w:tabs>
          <w:ind w:left="5040" w:hanging="720"/>
        </w:pPr>
        <w:rPr>
          <w:rFonts w:hint="default"/>
        </w:rPr>
      </w:lvl>
    </w:lvlOverride>
    <w:lvlOverride w:ilvl="7">
      <w:lvl w:ilvl="7">
        <w:start w:val="1"/>
        <w:numFmt w:val="lowerLetter"/>
        <w:pStyle w:val="Heading8"/>
        <w:lvlText w:val="(%8)"/>
        <w:lvlJc w:val="left"/>
        <w:pPr>
          <w:tabs>
            <w:tab w:val="num" w:pos="5760"/>
          </w:tabs>
          <w:ind w:left="5760" w:hanging="720"/>
        </w:pPr>
        <w:rPr>
          <w:rFonts w:hint="default"/>
        </w:rPr>
      </w:lvl>
    </w:lvlOverride>
    <w:lvlOverride w:ilvl="8">
      <w:lvl w:ilvl="8">
        <w:start w:val="1"/>
        <w:numFmt w:val="lowerRoman"/>
        <w:pStyle w:val="Heading9"/>
        <w:lvlText w:val="(%9)"/>
        <w:lvlJc w:val="left"/>
        <w:pPr>
          <w:tabs>
            <w:tab w:val="num" w:pos="6480"/>
          </w:tabs>
          <w:ind w:left="6480" w:hanging="720"/>
        </w:pPr>
        <w:rPr>
          <w:rFonts w:hint="default"/>
        </w:rPr>
      </w:lvl>
    </w:lvlOverride>
  </w:num>
  <w:num w:numId="7">
    <w:abstractNumId w:val="14"/>
  </w:num>
  <w:num w:numId="8">
    <w:abstractNumId w:val="11"/>
  </w:num>
  <w:num w:numId="9">
    <w:abstractNumId w:val="6"/>
  </w:num>
  <w:num w:numId="10">
    <w:abstractNumId w:val="2"/>
  </w:num>
  <w:num w:numId="11">
    <w:abstractNumId w:val="13"/>
  </w:num>
  <w:num w:numId="12">
    <w:abstractNumId w:val="0"/>
  </w:num>
  <w:num w:numId="13">
    <w:abstractNumId w:val="19"/>
  </w:num>
  <w:num w:numId="14">
    <w:abstractNumId w:val="1"/>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5"/>
  </w:num>
  <w:num w:numId="18">
    <w:abstractNumId w:val="5"/>
  </w:num>
  <w:num w:numId="19">
    <w:abstractNumId w:val="9"/>
  </w:num>
  <w:num w:numId="20">
    <w:abstractNumId w:val="18"/>
  </w:num>
  <w:num w:numId="21">
    <w:abstractNumId w:val="12"/>
    <w:lvlOverride w:ilvl="0">
      <w:lvl w:ilvl="0">
        <w:start w:val="1"/>
        <w:numFmt w:val="upperRoman"/>
        <w:pStyle w:val="Heading1"/>
        <w:lvlText w:val="%1."/>
        <w:lvlJc w:val="left"/>
        <w:pPr>
          <w:tabs>
            <w:tab w:val="num" w:pos="720"/>
          </w:tabs>
          <w:ind w:left="720" w:hanging="720"/>
        </w:pPr>
        <w:rPr>
          <w:rFonts w:asciiTheme="majorHAnsi" w:hAnsiTheme="majorHAnsi" w:hint="default"/>
          <w:sz w:val="24"/>
        </w:rPr>
      </w:lvl>
    </w:lvlOverride>
    <w:lvlOverride w:ilvl="1">
      <w:lvl w:ilvl="1">
        <w:start w:val="1"/>
        <w:numFmt w:val="upperLetter"/>
        <w:pStyle w:val="Heading2"/>
        <w:lvlText w:val="%2."/>
        <w:lvlJc w:val="left"/>
        <w:pPr>
          <w:tabs>
            <w:tab w:val="num" w:pos="1440"/>
          </w:tabs>
          <w:ind w:left="1440" w:hanging="720"/>
        </w:pPr>
        <w:rPr>
          <w:rFonts w:hint="default"/>
        </w:rPr>
      </w:lvl>
    </w:lvlOverride>
    <w:lvlOverride w:ilvl="2">
      <w:lvl w:ilvl="2">
        <w:start w:val="1"/>
        <w:numFmt w:val="decimal"/>
        <w:pStyle w:val="Heading3"/>
        <w:lvlText w:val="%3."/>
        <w:lvlJc w:val="left"/>
        <w:pPr>
          <w:tabs>
            <w:tab w:val="num" w:pos="2160"/>
          </w:tabs>
          <w:ind w:left="2160" w:hanging="720"/>
        </w:pPr>
        <w:rPr>
          <w:rFonts w:hint="default"/>
        </w:rPr>
      </w:lvl>
    </w:lvlOverride>
    <w:lvlOverride w:ilvl="3">
      <w:lvl w:ilvl="3">
        <w:start w:val="1"/>
        <w:numFmt w:val="lowerLetter"/>
        <w:lvlText w:val="%4)"/>
        <w:lvlJc w:val="left"/>
        <w:pPr>
          <w:tabs>
            <w:tab w:val="num" w:pos="2880"/>
          </w:tabs>
          <w:ind w:left="2880" w:hanging="720"/>
        </w:pPr>
        <w:rPr>
          <w:rFonts w:hint="default"/>
        </w:rPr>
      </w:lvl>
    </w:lvlOverride>
    <w:lvlOverride w:ilvl="4">
      <w:lvl w:ilvl="4">
        <w:start w:val="1"/>
        <w:numFmt w:val="decimal"/>
        <w:pStyle w:val="Heading5"/>
        <w:lvlText w:val="(%5)"/>
        <w:lvlJc w:val="left"/>
        <w:pPr>
          <w:tabs>
            <w:tab w:val="num" w:pos="3600"/>
          </w:tabs>
          <w:ind w:left="3600" w:hanging="720"/>
        </w:pPr>
        <w:rPr>
          <w:rFonts w:hint="default"/>
        </w:rPr>
      </w:lvl>
    </w:lvlOverride>
    <w:lvlOverride w:ilvl="5">
      <w:lvl w:ilvl="5">
        <w:start w:val="1"/>
        <w:numFmt w:val="lowerLetter"/>
        <w:pStyle w:val="Heading6"/>
        <w:lvlText w:val="(%6)"/>
        <w:lvlJc w:val="left"/>
        <w:pPr>
          <w:tabs>
            <w:tab w:val="num" w:pos="4320"/>
          </w:tabs>
          <w:ind w:left="4320" w:hanging="720"/>
        </w:pPr>
        <w:rPr>
          <w:rFonts w:hint="default"/>
        </w:rPr>
      </w:lvl>
    </w:lvlOverride>
    <w:lvlOverride w:ilvl="6">
      <w:lvl w:ilvl="6">
        <w:start w:val="1"/>
        <w:numFmt w:val="lowerRoman"/>
        <w:pStyle w:val="Heading7"/>
        <w:lvlText w:val="(%7)"/>
        <w:lvlJc w:val="left"/>
        <w:pPr>
          <w:tabs>
            <w:tab w:val="num" w:pos="5040"/>
          </w:tabs>
          <w:ind w:left="5040" w:hanging="720"/>
        </w:pPr>
        <w:rPr>
          <w:rFonts w:hint="default"/>
        </w:rPr>
      </w:lvl>
    </w:lvlOverride>
    <w:lvlOverride w:ilvl="7">
      <w:lvl w:ilvl="7">
        <w:start w:val="1"/>
        <w:numFmt w:val="lowerLetter"/>
        <w:pStyle w:val="Heading8"/>
        <w:lvlText w:val="(%8)"/>
        <w:lvlJc w:val="left"/>
        <w:pPr>
          <w:tabs>
            <w:tab w:val="num" w:pos="5760"/>
          </w:tabs>
          <w:ind w:left="5760" w:hanging="720"/>
        </w:pPr>
        <w:rPr>
          <w:rFonts w:hint="default"/>
        </w:rPr>
      </w:lvl>
    </w:lvlOverride>
    <w:lvlOverride w:ilvl="8">
      <w:lvl w:ilvl="8">
        <w:start w:val="1"/>
        <w:numFmt w:val="lowerRoman"/>
        <w:pStyle w:val="Heading9"/>
        <w:lvlText w:val="(%9)"/>
        <w:lvlJc w:val="left"/>
        <w:pPr>
          <w:tabs>
            <w:tab w:val="num" w:pos="6480"/>
          </w:tabs>
          <w:ind w:left="6480" w:hanging="720"/>
        </w:pPr>
        <w:rPr>
          <w:rFonts w:hint="default"/>
        </w:rPr>
      </w:lvl>
    </w:lvlOverride>
  </w:num>
  <w:num w:numId="22">
    <w:abstractNumId w:val="7"/>
  </w:num>
  <w:num w:numId="23">
    <w:abstractNumId w:val="3"/>
  </w:num>
  <w:num w:numId="24">
    <w:abstractNumId w:val="3"/>
    <w:lvlOverride w:ilvl="0">
      <w:startOverride w:val="1"/>
    </w:lvlOverride>
  </w:num>
  <w:num w:numId="25">
    <w:abstractNumId w:val="12"/>
    <w:lvlOverride w:ilvl="0">
      <w:lvl w:ilvl="0">
        <w:start w:val="1"/>
        <w:numFmt w:val="upperRoman"/>
        <w:pStyle w:val="Heading1"/>
        <w:lvlText w:val="%1."/>
        <w:lvlJc w:val="left"/>
        <w:pPr>
          <w:tabs>
            <w:tab w:val="num" w:pos="720"/>
          </w:tabs>
          <w:ind w:left="720" w:hanging="720"/>
        </w:pPr>
        <w:rPr>
          <w:rFonts w:asciiTheme="majorHAnsi" w:hAnsiTheme="majorHAnsi" w:hint="default"/>
          <w:sz w:val="24"/>
        </w:rPr>
      </w:lvl>
    </w:lvlOverride>
    <w:lvlOverride w:ilvl="1">
      <w:lvl w:ilvl="1">
        <w:start w:val="1"/>
        <w:numFmt w:val="upperLetter"/>
        <w:pStyle w:val="Heading2"/>
        <w:lvlText w:val="%2."/>
        <w:lvlJc w:val="left"/>
        <w:pPr>
          <w:tabs>
            <w:tab w:val="num" w:pos="1440"/>
          </w:tabs>
          <w:ind w:left="1440" w:hanging="720"/>
        </w:pPr>
        <w:rPr>
          <w:rFonts w:hint="default"/>
        </w:rPr>
      </w:lvl>
    </w:lvlOverride>
    <w:lvlOverride w:ilvl="2">
      <w:lvl w:ilvl="2">
        <w:start w:val="1"/>
        <w:numFmt w:val="decimal"/>
        <w:pStyle w:val="Heading3"/>
        <w:lvlText w:val="%3."/>
        <w:lvlJc w:val="left"/>
        <w:pPr>
          <w:tabs>
            <w:tab w:val="num" w:pos="2160"/>
          </w:tabs>
          <w:ind w:left="2160" w:hanging="720"/>
        </w:pPr>
        <w:rPr>
          <w:rFonts w:hint="default"/>
        </w:rPr>
      </w:lvl>
    </w:lvlOverride>
    <w:lvlOverride w:ilvl="3">
      <w:lvl w:ilvl="3">
        <w:start w:val="1"/>
        <w:numFmt w:val="lowerLetter"/>
        <w:lvlText w:val="%4)"/>
        <w:lvlJc w:val="left"/>
        <w:pPr>
          <w:tabs>
            <w:tab w:val="num" w:pos="2880"/>
          </w:tabs>
          <w:ind w:left="2880" w:hanging="720"/>
        </w:pPr>
        <w:rPr>
          <w:rFonts w:hint="default"/>
        </w:rPr>
      </w:lvl>
    </w:lvlOverride>
    <w:lvlOverride w:ilvl="4">
      <w:lvl w:ilvl="4">
        <w:start w:val="1"/>
        <w:numFmt w:val="decimal"/>
        <w:pStyle w:val="Heading5"/>
        <w:lvlText w:val="(%5)"/>
        <w:lvlJc w:val="left"/>
        <w:pPr>
          <w:tabs>
            <w:tab w:val="num" w:pos="3600"/>
          </w:tabs>
          <w:ind w:left="3600" w:hanging="720"/>
        </w:pPr>
        <w:rPr>
          <w:rFonts w:hint="default"/>
        </w:rPr>
      </w:lvl>
    </w:lvlOverride>
    <w:lvlOverride w:ilvl="5">
      <w:lvl w:ilvl="5">
        <w:start w:val="1"/>
        <w:numFmt w:val="lowerLetter"/>
        <w:pStyle w:val="Heading6"/>
        <w:lvlText w:val="(%6)"/>
        <w:lvlJc w:val="left"/>
        <w:pPr>
          <w:tabs>
            <w:tab w:val="num" w:pos="4320"/>
          </w:tabs>
          <w:ind w:left="4320" w:hanging="720"/>
        </w:pPr>
        <w:rPr>
          <w:rFonts w:hint="default"/>
        </w:rPr>
      </w:lvl>
    </w:lvlOverride>
    <w:lvlOverride w:ilvl="6">
      <w:lvl w:ilvl="6">
        <w:start w:val="1"/>
        <w:numFmt w:val="lowerRoman"/>
        <w:pStyle w:val="Heading7"/>
        <w:lvlText w:val="(%7)"/>
        <w:lvlJc w:val="left"/>
        <w:pPr>
          <w:tabs>
            <w:tab w:val="num" w:pos="5040"/>
          </w:tabs>
          <w:ind w:left="5040" w:hanging="720"/>
        </w:pPr>
        <w:rPr>
          <w:rFonts w:hint="default"/>
        </w:rPr>
      </w:lvl>
    </w:lvlOverride>
    <w:lvlOverride w:ilvl="7">
      <w:lvl w:ilvl="7">
        <w:start w:val="1"/>
        <w:numFmt w:val="lowerLetter"/>
        <w:pStyle w:val="Heading8"/>
        <w:lvlText w:val="(%8)"/>
        <w:lvlJc w:val="left"/>
        <w:pPr>
          <w:tabs>
            <w:tab w:val="num" w:pos="5760"/>
          </w:tabs>
          <w:ind w:left="5760" w:hanging="720"/>
        </w:pPr>
        <w:rPr>
          <w:rFonts w:hint="default"/>
        </w:rPr>
      </w:lvl>
    </w:lvlOverride>
    <w:lvlOverride w:ilvl="8">
      <w:lvl w:ilvl="8">
        <w:start w:val="1"/>
        <w:numFmt w:val="lowerRoman"/>
        <w:pStyle w:val="Heading9"/>
        <w:lvlText w:val="(%9)"/>
        <w:lvlJc w:val="left"/>
        <w:pPr>
          <w:tabs>
            <w:tab w:val="num" w:pos="6480"/>
          </w:tabs>
          <w:ind w:left="6480" w:hanging="720"/>
        </w:pPr>
        <w:rPr>
          <w:rFonts w:hint="default"/>
        </w:rPr>
      </w:lvl>
    </w:lvlOverride>
  </w:num>
  <w:num w:numId="26">
    <w:abstractNumId w:val="3"/>
    <w:lvlOverride w:ilvl="0">
      <w:startOverride w:val="1"/>
    </w:lvlOverride>
  </w:num>
  <w:num w:numId="27">
    <w:abstractNumId w:val="4"/>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C0A"/>
    <w:rsid w:val="0000316E"/>
    <w:rsid w:val="000070BB"/>
    <w:rsid w:val="00007CAD"/>
    <w:rsid w:val="00014B60"/>
    <w:rsid w:val="000216CA"/>
    <w:rsid w:val="000225CE"/>
    <w:rsid w:val="0002418D"/>
    <w:rsid w:val="00053F4D"/>
    <w:rsid w:val="000A684C"/>
    <w:rsid w:val="000C2FAF"/>
    <w:rsid w:val="000C552E"/>
    <w:rsid w:val="000C79DC"/>
    <w:rsid w:val="000E625D"/>
    <w:rsid w:val="00101463"/>
    <w:rsid w:val="00101721"/>
    <w:rsid w:val="001043B7"/>
    <w:rsid w:val="00117E9E"/>
    <w:rsid w:val="00131131"/>
    <w:rsid w:val="00136AF4"/>
    <w:rsid w:val="0014409D"/>
    <w:rsid w:val="0014447F"/>
    <w:rsid w:val="00167618"/>
    <w:rsid w:val="00180DE0"/>
    <w:rsid w:val="001A04CB"/>
    <w:rsid w:val="001C740E"/>
    <w:rsid w:val="00203389"/>
    <w:rsid w:val="0022276F"/>
    <w:rsid w:val="00232300"/>
    <w:rsid w:val="002329AC"/>
    <w:rsid w:val="00244C1A"/>
    <w:rsid w:val="002642BC"/>
    <w:rsid w:val="0026576D"/>
    <w:rsid w:val="002836F1"/>
    <w:rsid w:val="00283852"/>
    <w:rsid w:val="00296AA1"/>
    <w:rsid w:val="002A509F"/>
    <w:rsid w:val="002E3FCA"/>
    <w:rsid w:val="003001E5"/>
    <w:rsid w:val="003076E3"/>
    <w:rsid w:val="00315FD9"/>
    <w:rsid w:val="00335108"/>
    <w:rsid w:val="003427ED"/>
    <w:rsid w:val="0037464B"/>
    <w:rsid w:val="00385BDB"/>
    <w:rsid w:val="003A5419"/>
    <w:rsid w:val="003B3248"/>
    <w:rsid w:val="003D77DC"/>
    <w:rsid w:val="003E1179"/>
    <w:rsid w:val="003E27D3"/>
    <w:rsid w:val="003E45E2"/>
    <w:rsid w:val="003F21CF"/>
    <w:rsid w:val="003F6F11"/>
    <w:rsid w:val="003F7930"/>
    <w:rsid w:val="004005EE"/>
    <w:rsid w:val="00402754"/>
    <w:rsid w:val="00422150"/>
    <w:rsid w:val="004329E8"/>
    <w:rsid w:val="00465F74"/>
    <w:rsid w:val="00476C8E"/>
    <w:rsid w:val="00496104"/>
    <w:rsid w:val="004A6EA2"/>
    <w:rsid w:val="004A7DF2"/>
    <w:rsid w:val="004B1AA2"/>
    <w:rsid w:val="004B7CE3"/>
    <w:rsid w:val="004C755D"/>
    <w:rsid w:val="004D0C70"/>
    <w:rsid w:val="004E2E5D"/>
    <w:rsid w:val="004F5685"/>
    <w:rsid w:val="00505793"/>
    <w:rsid w:val="0051354B"/>
    <w:rsid w:val="00516124"/>
    <w:rsid w:val="0054646A"/>
    <w:rsid w:val="00551935"/>
    <w:rsid w:val="0056068D"/>
    <w:rsid w:val="00560FA8"/>
    <w:rsid w:val="00573482"/>
    <w:rsid w:val="005754ED"/>
    <w:rsid w:val="00585346"/>
    <w:rsid w:val="005A0E57"/>
    <w:rsid w:val="005B0024"/>
    <w:rsid w:val="005C064E"/>
    <w:rsid w:val="005E44AD"/>
    <w:rsid w:val="005F27E5"/>
    <w:rsid w:val="005F3874"/>
    <w:rsid w:val="005F4E22"/>
    <w:rsid w:val="005F58BD"/>
    <w:rsid w:val="00600242"/>
    <w:rsid w:val="00601835"/>
    <w:rsid w:val="00601866"/>
    <w:rsid w:val="00614794"/>
    <w:rsid w:val="00616373"/>
    <w:rsid w:val="0062340D"/>
    <w:rsid w:val="00626B7D"/>
    <w:rsid w:val="006407E3"/>
    <w:rsid w:val="00665B7E"/>
    <w:rsid w:val="00671410"/>
    <w:rsid w:val="0068001C"/>
    <w:rsid w:val="0069689B"/>
    <w:rsid w:val="006B7DE7"/>
    <w:rsid w:val="006C5500"/>
    <w:rsid w:val="006D5610"/>
    <w:rsid w:val="006F3AD4"/>
    <w:rsid w:val="006F4B2D"/>
    <w:rsid w:val="00715504"/>
    <w:rsid w:val="00737658"/>
    <w:rsid w:val="00742C05"/>
    <w:rsid w:val="0076072C"/>
    <w:rsid w:val="00763D90"/>
    <w:rsid w:val="00776743"/>
    <w:rsid w:val="00783A1F"/>
    <w:rsid w:val="00790470"/>
    <w:rsid w:val="00794000"/>
    <w:rsid w:val="007B7D39"/>
    <w:rsid w:val="007C573F"/>
    <w:rsid w:val="007C6663"/>
    <w:rsid w:val="007D0191"/>
    <w:rsid w:val="007D5967"/>
    <w:rsid w:val="007E1053"/>
    <w:rsid w:val="007E4044"/>
    <w:rsid w:val="007F1BCF"/>
    <w:rsid w:val="007F2FF6"/>
    <w:rsid w:val="007F4431"/>
    <w:rsid w:val="00807882"/>
    <w:rsid w:val="00814B14"/>
    <w:rsid w:val="008169C4"/>
    <w:rsid w:val="00825C29"/>
    <w:rsid w:val="00835EC1"/>
    <w:rsid w:val="00836C36"/>
    <w:rsid w:val="00837F01"/>
    <w:rsid w:val="00841319"/>
    <w:rsid w:val="008448E2"/>
    <w:rsid w:val="0084575F"/>
    <w:rsid w:val="008516FD"/>
    <w:rsid w:val="008532DE"/>
    <w:rsid w:val="00875D1C"/>
    <w:rsid w:val="008767EE"/>
    <w:rsid w:val="00884DA8"/>
    <w:rsid w:val="008857EE"/>
    <w:rsid w:val="008A2311"/>
    <w:rsid w:val="008A45C7"/>
    <w:rsid w:val="008B765D"/>
    <w:rsid w:val="008D3832"/>
    <w:rsid w:val="008D63C6"/>
    <w:rsid w:val="008E3049"/>
    <w:rsid w:val="008E5B2E"/>
    <w:rsid w:val="008F6EC7"/>
    <w:rsid w:val="009051AF"/>
    <w:rsid w:val="009205B0"/>
    <w:rsid w:val="00920795"/>
    <w:rsid w:val="0097012C"/>
    <w:rsid w:val="00975089"/>
    <w:rsid w:val="00976217"/>
    <w:rsid w:val="009967E0"/>
    <w:rsid w:val="009A15BA"/>
    <w:rsid w:val="009A499E"/>
    <w:rsid w:val="009B216F"/>
    <w:rsid w:val="009C207C"/>
    <w:rsid w:val="009C63E2"/>
    <w:rsid w:val="00A037B0"/>
    <w:rsid w:val="00A16F29"/>
    <w:rsid w:val="00A37234"/>
    <w:rsid w:val="00A37DBD"/>
    <w:rsid w:val="00A42557"/>
    <w:rsid w:val="00A778CB"/>
    <w:rsid w:val="00A86E5C"/>
    <w:rsid w:val="00AA05F8"/>
    <w:rsid w:val="00AA1992"/>
    <w:rsid w:val="00AA34CD"/>
    <w:rsid w:val="00AA64B9"/>
    <w:rsid w:val="00AE208F"/>
    <w:rsid w:val="00AF454F"/>
    <w:rsid w:val="00B378C0"/>
    <w:rsid w:val="00B8352E"/>
    <w:rsid w:val="00B92E4F"/>
    <w:rsid w:val="00B94D4D"/>
    <w:rsid w:val="00BA5FEA"/>
    <w:rsid w:val="00BD38C0"/>
    <w:rsid w:val="00BD72FC"/>
    <w:rsid w:val="00BE6C22"/>
    <w:rsid w:val="00C00122"/>
    <w:rsid w:val="00C05E3D"/>
    <w:rsid w:val="00C1616D"/>
    <w:rsid w:val="00C21100"/>
    <w:rsid w:val="00C3307B"/>
    <w:rsid w:val="00C34431"/>
    <w:rsid w:val="00C413EE"/>
    <w:rsid w:val="00C4165E"/>
    <w:rsid w:val="00C43539"/>
    <w:rsid w:val="00C518A6"/>
    <w:rsid w:val="00C5201E"/>
    <w:rsid w:val="00C62907"/>
    <w:rsid w:val="00C670F8"/>
    <w:rsid w:val="00C72660"/>
    <w:rsid w:val="00C81327"/>
    <w:rsid w:val="00C866C5"/>
    <w:rsid w:val="00C96A06"/>
    <w:rsid w:val="00CA33A3"/>
    <w:rsid w:val="00CB699E"/>
    <w:rsid w:val="00CD2F55"/>
    <w:rsid w:val="00CD6862"/>
    <w:rsid w:val="00CE4AA5"/>
    <w:rsid w:val="00CF7F64"/>
    <w:rsid w:val="00D204E3"/>
    <w:rsid w:val="00D45586"/>
    <w:rsid w:val="00D5321D"/>
    <w:rsid w:val="00D604A8"/>
    <w:rsid w:val="00D966D5"/>
    <w:rsid w:val="00DC60D3"/>
    <w:rsid w:val="00DD466A"/>
    <w:rsid w:val="00DD7D45"/>
    <w:rsid w:val="00DE6648"/>
    <w:rsid w:val="00DF085D"/>
    <w:rsid w:val="00DF5F5A"/>
    <w:rsid w:val="00E13383"/>
    <w:rsid w:val="00E1728F"/>
    <w:rsid w:val="00E236BA"/>
    <w:rsid w:val="00E24112"/>
    <w:rsid w:val="00E51C0A"/>
    <w:rsid w:val="00E65071"/>
    <w:rsid w:val="00E65ED9"/>
    <w:rsid w:val="00E90EE0"/>
    <w:rsid w:val="00EA57EA"/>
    <w:rsid w:val="00EC5B1D"/>
    <w:rsid w:val="00EE0487"/>
    <w:rsid w:val="00EF0010"/>
    <w:rsid w:val="00F01983"/>
    <w:rsid w:val="00F16EEC"/>
    <w:rsid w:val="00F21F7A"/>
    <w:rsid w:val="00F25A0D"/>
    <w:rsid w:val="00F26F5C"/>
    <w:rsid w:val="00F27A0C"/>
    <w:rsid w:val="00F356C5"/>
    <w:rsid w:val="00F57321"/>
    <w:rsid w:val="00F9182C"/>
    <w:rsid w:val="00F929D3"/>
    <w:rsid w:val="00F94AA4"/>
    <w:rsid w:val="00FD229E"/>
    <w:rsid w:val="00FD6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31BF5CF"/>
  <w15:chartTrackingRefBased/>
  <w15:docId w15:val="{3633E5B1-E95F-4FCD-937C-E9EFD15A9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semiHidden="1" w:uiPriority="6" w:unhideWhenUsed="1" w:qFormat="1"/>
    <w:lsdException w:name="List Number" w:semiHidden="1" w:uiPriority="7" w:unhideWhenUsed="1" w:qFormat="1"/>
    <w:lsdException w:name="List 2" w:semiHidden="1" w:uiPriority="5" w:unhideWhenUsed="1" w:qFormat="1"/>
    <w:lsdException w:name="List 3" w:semiHidden="1" w:uiPriority="5" w:unhideWhenUsed="1"/>
    <w:lsdException w:name="List 4" w:semiHidden="1" w:uiPriority="5" w:unhideWhenUsed="1"/>
    <w:lsdException w:name="List 5" w:semiHidden="1" w:uiPriority="5" w:unhideWhenUsed="1"/>
    <w:lsdException w:name="List Bullet 2" w:semiHidden="1" w:uiPriority="6" w:unhideWhenUsed="1" w:qFormat="1"/>
    <w:lsdException w:name="List Bullet 3" w:semiHidden="1" w:uiPriority="6" w:unhideWhenUsed="1"/>
    <w:lsdException w:name="List Bullet 4" w:semiHidden="1" w:uiPriority="6" w:unhideWhenUsed="1"/>
    <w:lsdException w:name="List Bullet 5" w:semiHidden="1" w:uiPriority="6" w:unhideWhenUsed="1"/>
    <w:lsdException w:name="List Number 2" w:semiHidden="1" w:uiPriority="7" w:unhideWhenUsed="1" w:qFormat="1"/>
    <w:lsdException w:name="List Number 3" w:semiHidden="1" w:uiPriority="7" w:unhideWhenUsed="1"/>
    <w:lsdException w:name="List Number 4" w:semiHidden="1" w:uiPriority="7" w:unhideWhenUsed="1"/>
    <w:lsdException w:name="List Number 5" w:semiHidden="1" w:uiPriority="7"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8" w:unhideWhenUsed="1" w:qFormat="1"/>
    <w:lsdException w:name="List Continue 2" w:semiHidden="1" w:uiPriority="8" w:unhideWhenUsed="1" w:qFormat="1"/>
    <w:lsdException w:name="List Continue 3" w:semiHidden="1" w:uiPriority="8" w:unhideWhenUsed="1"/>
    <w:lsdException w:name="List Continue 4" w:semiHidden="1" w:uiPriority="8" w:unhideWhenUsed="1"/>
    <w:lsdException w:name="List Continue 5" w:semiHidden="1" w:uiPriority="8"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89B"/>
    <w:pPr>
      <w:spacing w:line="260" w:lineRule="atLeast"/>
    </w:pPr>
    <w:rPr>
      <w:rFonts w:eastAsiaTheme="minorEastAsia" w:cs="Times New Roman (Body CS)"/>
      <w:color w:val="595454" w:themeColor="text1"/>
      <w:sz w:val="20"/>
    </w:rPr>
  </w:style>
  <w:style w:type="paragraph" w:styleId="Heading1">
    <w:name w:val="heading 1"/>
    <w:basedOn w:val="Normal"/>
    <w:link w:val="Heading1Char"/>
    <w:uiPriority w:val="4"/>
    <w:qFormat/>
    <w:rsid w:val="00975089"/>
    <w:pPr>
      <w:numPr>
        <w:numId w:val="5"/>
      </w:numPr>
      <w:spacing w:after="240" w:line="240" w:lineRule="auto"/>
      <w:outlineLvl w:val="0"/>
    </w:pPr>
    <w:rPr>
      <w:rFonts w:asciiTheme="majorHAnsi" w:eastAsiaTheme="majorEastAsia" w:hAnsiTheme="majorHAnsi" w:cstheme="majorBidi"/>
      <w:bCs/>
      <w:color w:val="auto"/>
      <w:sz w:val="24"/>
      <w:szCs w:val="28"/>
      <w:lang w:val="en-GB"/>
    </w:rPr>
  </w:style>
  <w:style w:type="paragraph" w:styleId="Heading2">
    <w:name w:val="heading 2"/>
    <w:basedOn w:val="Normal"/>
    <w:link w:val="Heading2Char"/>
    <w:uiPriority w:val="4"/>
    <w:qFormat/>
    <w:rsid w:val="00975089"/>
    <w:pPr>
      <w:numPr>
        <w:ilvl w:val="1"/>
        <w:numId w:val="5"/>
      </w:numPr>
      <w:spacing w:after="240" w:line="240" w:lineRule="auto"/>
      <w:jc w:val="both"/>
      <w:outlineLvl w:val="1"/>
    </w:pPr>
    <w:rPr>
      <w:rFonts w:asciiTheme="majorHAnsi" w:eastAsiaTheme="majorEastAsia" w:hAnsiTheme="majorHAnsi" w:cstheme="majorBidi"/>
      <w:b/>
      <w:bCs/>
      <w:color w:val="auto"/>
      <w:szCs w:val="20"/>
      <w:lang w:val="en-GB"/>
    </w:rPr>
  </w:style>
  <w:style w:type="paragraph" w:styleId="Heading3">
    <w:name w:val="heading 3"/>
    <w:basedOn w:val="Normal"/>
    <w:link w:val="Heading3Char"/>
    <w:uiPriority w:val="4"/>
    <w:qFormat/>
    <w:rsid w:val="00975089"/>
    <w:pPr>
      <w:numPr>
        <w:ilvl w:val="2"/>
        <w:numId w:val="5"/>
      </w:numPr>
      <w:spacing w:after="240" w:line="240" w:lineRule="auto"/>
      <w:outlineLvl w:val="2"/>
    </w:pPr>
    <w:rPr>
      <w:rFonts w:asciiTheme="majorHAnsi" w:eastAsiaTheme="majorEastAsia" w:hAnsiTheme="majorHAnsi" w:cstheme="majorBidi"/>
      <w:bCs/>
      <w:color w:val="auto"/>
      <w:sz w:val="24"/>
      <w:lang w:val="en-GB"/>
    </w:rPr>
  </w:style>
  <w:style w:type="paragraph" w:styleId="Heading4">
    <w:name w:val="heading 4"/>
    <w:basedOn w:val="Normal"/>
    <w:link w:val="Heading4Char"/>
    <w:uiPriority w:val="4"/>
    <w:qFormat/>
    <w:rsid w:val="00975089"/>
    <w:pPr>
      <w:numPr>
        <w:numId w:val="23"/>
      </w:numPr>
      <w:spacing w:after="240" w:line="240" w:lineRule="auto"/>
      <w:outlineLvl w:val="3"/>
    </w:pPr>
    <w:rPr>
      <w:rFonts w:asciiTheme="majorHAnsi" w:eastAsiaTheme="majorEastAsia" w:hAnsiTheme="majorHAnsi" w:cstheme="majorBidi"/>
      <w:bCs/>
      <w:iCs/>
      <w:color w:val="auto"/>
      <w:sz w:val="24"/>
      <w:lang w:val="en-GB"/>
    </w:rPr>
  </w:style>
  <w:style w:type="paragraph" w:styleId="Heading5">
    <w:name w:val="heading 5"/>
    <w:basedOn w:val="Normal"/>
    <w:link w:val="Heading5Char"/>
    <w:uiPriority w:val="4"/>
    <w:qFormat/>
    <w:rsid w:val="00975089"/>
    <w:pPr>
      <w:numPr>
        <w:ilvl w:val="4"/>
        <w:numId w:val="5"/>
      </w:numPr>
      <w:spacing w:after="240" w:line="240" w:lineRule="auto"/>
      <w:outlineLvl w:val="4"/>
    </w:pPr>
    <w:rPr>
      <w:rFonts w:asciiTheme="majorHAnsi" w:eastAsiaTheme="majorEastAsia" w:hAnsiTheme="majorHAnsi" w:cstheme="majorBidi"/>
      <w:color w:val="auto"/>
      <w:sz w:val="24"/>
      <w:lang w:val="en-GB"/>
    </w:rPr>
  </w:style>
  <w:style w:type="paragraph" w:styleId="Heading6">
    <w:name w:val="heading 6"/>
    <w:basedOn w:val="Normal"/>
    <w:link w:val="Heading6Char"/>
    <w:uiPriority w:val="4"/>
    <w:qFormat/>
    <w:rsid w:val="00975089"/>
    <w:pPr>
      <w:numPr>
        <w:ilvl w:val="5"/>
        <w:numId w:val="5"/>
      </w:numPr>
      <w:spacing w:after="240" w:line="240" w:lineRule="auto"/>
      <w:outlineLvl w:val="5"/>
    </w:pPr>
    <w:rPr>
      <w:rFonts w:asciiTheme="majorHAnsi" w:eastAsiaTheme="majorEastAsia" w:hAnsiTheme="majorHAnsi" w:cstheme="majorBidi"/>
      <w:iCs/>
      <w:color w:val="auto"/>
      <w:sz w:val="24"/>
      <w:lang w:val="en-GB"/>
    </w:rPr>
  </w:style>
  <w:style w:type="paragraph" w:styleId="Heading7">
    <w:name w:val="heading 7"/>
    <w:basedOn w:val="Normal"/>
    <w:link w:val="Heading7Char"/>
    <w:uiPriority w:val="4"/>
    <w:qFormat/>
    <w:rsid w:val="00975089"/>
    <w:pPr>
      <w:numPr>
        <w:ilvl w:val="6"/>
        <w:numId w:val="5"/>
      </w:numPr>
      <w:spacing w:after="240" w:line="240" w:lineRule="auto"/>
      <w:outlineLvl w:val="6"/>
    </w:pPr>
    <w:rPr>
      <w:rFonts w:asciiTheme="majorHAnsi" w:eastAsiaTheme="majorEastAsia" w:hAnsiTheme="majorHAnsi" w:cstheme="majorBidi"/>
      <w:iCs/>
      <w:color w:val="auto"/>
      <w:sz w:val="24"/>
      <w:lang w:val="en-GB"/>
    </w:rPr>
  </w:style>
  <w:style w:type="paragraph" w:styleId="Heading8">
    <w:name w:val="heading 8"/>
    <w:basedOn w:val="Normal"/>
    <w:link w:val="Heading8Char"/>
    <w:uiPriority w:val="4"/>
    <w:qFormat/>
    <w:rsid w:val="00975089"/>
    <w:pPr>
      <w:numPr>
        <w:ilvl w:val="7"/>
        <w:numId w:val="5"/>
      </w:numPr>
      <w:spacing w:after="240" w:line="240" w:lineRule="auto"/>
      <w:outlineLvl w:val="7"/>
    </w:pPr>
    <w:rPr>
      <w:rFonts w:asciiTheme="majorHAnsi" w:eastAsiaTheme="majorEastAsia" w:hAnsiTheme="majorHAnsi" w:cstheme="majorBidi"/>
      <w:color w:val="auto"/>
      <w:sz w:val="24"/>
      <w:szCs w:val="20"/>
      <w:lang w:val="en-GB"/>
    </w:rPr>
  </w:style>
  <w:style w:type="paragraph" w:styleId="Heading9">
    <w:name w:val="heading 9"/>
    <w:basedOn w:val="Normal"/>
    <w:link w:val="Heading9Char"/>
    <w:uiPriority w:val="4"/>
    <w:qFormat/>
    <w:rsid w:val="00975089"/>
    <w:pPr>
      <w:numPr>
        <w:ilvl w:val="8"/>
        <w:numId w:val="5"/>
      </w:numPr>
      <w:spacing w:after="240" w:line="240" w:lineRule="auto"/>
      <w:outlineLvl w:val="8"/>
    </w:pPr>
    <w:rPr>
      <w:rFonts w:asciiTheme="majorHAnsi" w:eastAsiaTheme="majorEastAsia" w:hAnsiTheme="majorHAnsi" w:cstheme="majorBidi"/>
      <w:iCs/>
      <w:color w:val="auto"/>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6AA1"/>
  </w:style>
  <w:style w:type="character" w:customStyle="1" w:styleId="HeaderChar">
    <w:name w:val="Header Char"/>
    <w:basedOn w:val="DefaultParagraphFont"/>
    <w:link w:val="Header"/>
    <w:uiPriority w:val="99"/>
    <w:rsid w:val="00296AA1"/>
    <w:rPr>
      <w:rFonts w:eastAsiaTheme="minorEastAsia" w:cs="Times New Roman (Body CS)"/>
      <w:sz w:val="22"/>
    </w:rPr>
  </w:style>
  <w:style w:type="paragraph" w:styleId="Footer">
    <w:name w:val="footer"/>
    <w:basedOn w:val="Normal"/>
    <w:link w:val="FooterChar"/>
    <w:uiPriority w:val="99"/>
    <w:unhideWhenUsed/>
    <w:rsid w:val="00296AA1"/>
  </w:style>
  <w:style w:type="character" w:customStyle="1" w:styleId="FooterChar">
    <w:name w:val="Footer Char"/>
    <w:basedOn w:val="DefaultParagraphFont"/>
    <w:link w:val="Footer"/>
    <w:uiPriority w:val="99"/>
    <w:rsid w:val="00296AA1"/>
    <w:rPr>
      <w:rFonts w:eastAsiaTheme="minorEastAsia" w:cs="Times New Roman (Body CS)"/>
      <w:sz w:val="22"/>
    </w:rPr>
  </w:style>
  <w:style w:type="table" w:styleId="TableGrid">
    <w:name w:val="Table Grid"/>
    <w:basedOn w:val="TableNormal"/>
    <w:uiPriority w:val="39"/>
    <w:rsid w:val="00296AA1"/>
    <w:tblPr>
      <w:tblBorders>
        <w:top w:val="single" w:sz="4" w:space="0" w:color="auto"/>
        <w:bottom w:val="single" w:sz="4" w:space="0" w:color="auto"/>
        <w:insideH w:val="single" w:sz="4" w:space="0" w:color="auto"/>
      </w:tblBorders>
      <w:tblCellMar>
        <w:top w:w="72" w:type="dxa"/>
        <w:left w:w="0" w:type="dxa"/>
        <w:bottom w:w="72" w:type="dxa"/>
        <w:right w:w="0" w:type="dxa"/>
      </w:tblCellMar>
    </w:tblPr>
  </w:style>
  <w:style w:type="character" w:styleId="Hyperlink">
    <w:name w:val="Hyperlink"/>
    <w:basedOn w:val="DefaultParagraphFont"/>
    <w:uiPriority w:val="99"/>
    <w:unhideWhenUsed/>
    <w:rsid w:val="00296AA1"/>
    <w:rPr>
      <w:color w:val="595454" w:themeColor="text1"/>
      <w:u w:val="none"/>
    </w:rPr>
  </w:style>
  <w:style w:type="paragraph" w:styleId="ListParagraph">
    <w:name w:val="List Paragraph"/>
    <w:basedOn w:val="Normal"/>
    <w:uiPriority w:val="34"/>
    <w:rsid w:val="00296AA1"/>
    <w:pPr>
      <w:ind w:left="720"/>
      <w:contextualSpacing/>
    </w:pPr>
  </w:style>
  <w:style w:type="character" w:styleId="FollowedHyperlink">
    <w:name w:val="FollowedHyperlink"/>
    <w:basedOn w:val="DefaultParagraphFont"/>
    <w:uiPriority w:val="99"/>
    <w:semiHidden/>
    <w:unhideWhenUsed/>
    <w:rsid w:val="00296AA1"/>
    <w:rPr>
      <w:color w:val="595454" w:themeColor="text1"/>
      <w:u w:val="none"/>
    </w:rPr>
  </w:style>
  <w:style w:type="paragraph" w:customStyle="1" w:styleId="FooterInformation">
    <w:name w:val="Footer Information"/>
    <w:basedOn w:val="Normal"/>
    <w:uiPriority w:val="9"/>
    <w:qFormat/>
    <w:rsid w:val="00101721"/>
    <w:pPr>
      <w:tabs>
        <w:tab w:val="left" w:pos="547"/>
      </w:tabs>
      <w:spacing w:line="190" w:lineRule="exact"/>
    </w:pPr>
    <w:rPr>
      <w:color w:val="595454"/>
      <w:sz w:val="16"/>
    </w:rPr>
  </w:style>
  <w:style w:type="paragraph" w:customStyle="1" w:styleId="FooterName">
    <w:name w:val="Footer Name"/>
    <w:basedOn w:val="Normal"/>
    <w:uiPriority w:val="9"/>
    <w:qFormat/>
    <w:rsid w:val="008A2311"/>
    <w:pPr>
      <w:spacing w:line="190" w:lineRule="exact"/>
    </w:pPr>
    <w:rPr>
      <w:b/>
      <w:color w:val="BE2BBB"/>
      <w:sz w:val="16"/>
    </w:rPr>
  </w:style>
  <w:style w:type="paragraph" w:customStyle="1" w:styleId="Bullets">
    <w:name w:val="Bullets"/>
    <w:basedOn w:val="ListParagraph"/>
    <w:uiPriority w:val="9"/>
    <w:qFormat/>
    <w:rsid w:val="0054646A"/>
    <w:pPr>
      <w:numPr>
        <w:numId w:val="4"/>
      </w:numPr>
    </w:pPr>
  </w:style>
  <w:style w:type="character" w:customStyle="1" w:styleId="Heading1Char">
    <w:name w:val="Heading 1 Char"/>
    <w:basedOn w:val="DefaultParagraphFont"/>
    <w:link w:val="Heading1"/>
    <w:uiPriority w:val="4"/>
    <w:rsid w:val="00975089"/>
    <w:rPr>
      <w:rFonts w:asciiTheme="majorHAnsi" w:eastAsiaTheme="majorEastAsia" w:hAnsiTheme="majorHAnsi" w:cstheme="majorBidi"/>
      <w:bCs/>
      <w:szCs w:val="28"/>
      <w:lang w:val="en-GB"/>
    </w:rPr>
  </w:style>
  <w:style w:type="character" w:customStyle="1" w:styleId="Heading2Char">
    <w:name w:val="Heading 2 Char"/>
    <w:basedOn w:val="DefaultParagraphFont"/>
    <w:link w:val="Heading2"/>
    <w:uiPriority w:val="4"/>
    <w:rsid w:val="00975089"/>
    <w:rPr>
      <w:rFonts w:asciiTheme="majorHAnsi" w:eastAsiaTheme="majorEastAsia" w:hAnsiTheme="majorHAnsi" w:cstheme="majorBidi"/>
      <w:b/>
      <w:bCs/>
      <w:sz w:val="20"/>
      <w:szCs w:val="20"/>
      <w:lang w:val="en-GB"/>
    </w:rPr>
  </w:style>
  <w:style w:type="character" w:customStyle="1" w:styleId="Heading3Char">
    <w:name w:val="Heading 3 Char"/>
    <w:basedOn w:val="DefaultParagraphFont"/>
    <w:link w:val="Heading3"/>
    <w:uiPriority w:val="4"/>
    <w:rsid w:val="00975089"/>
    <w:rPr>
      <w:rFonts w:asciiTheme="majorHAnsi" w:eastAsiaTheme="majorEastAsia" w:hAnsiTheme="majorHAnsi" w:cstheme="majorBidi"/>
      <w:bCs/>
      <w:lang w:val="en-GB"/>
    </w:rPr>
  </w:style>
  <w:style w:type="character" w:customStyle="1" w:styleId="Heading4Char">
    <w:name w:val="Heading 4 Char"/>
    <w:basedOn w:val="DefaultParagraphFont"/>
    <w:link w:val="Heading4"/>
    <w:uiPriority w:val="4"/>
    <w:rsid w:val="00975089"/>
    <w:rPr>
      <w:rFonts w:asciiTheme="majorHAnsi" w:eastAsiaTheme="majorEastAsia" w:hAnsiTheme="majorHAnsi" w:cstheme="majorBidi"/>
      <w:bCs/>
      <w:iCs/>
      <w:lang w:val="en-GB"/>
    </w:rPr>
  </w:style>
  <w:style w:type="character" w:customStyle="1" w:styleId="Heading5Char">
    <w:name w:val="Heading 5 Char"/>
    <w:basedOn w:val="DefaultParagraphFont"/>
    <w:link w:val="Heading5"/>
    <w:uiPriority w:val="4"/>
    <w:rsid w:val="00975089"/>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4"/>
    <w:rsid w:val="00975089"/>
    <w:rPr>
      <w:rFonts w:asciiTheme="majorHAnsi" w:eastAsiaTheme="majorEastAsia" w:hAnsiTheme="majorHAnsi" w:cstheme="majorBidi"/>
      <w:iCs/>
      <w:lang w:val="en-GB"/>
    </w:rPr>
  </w:style>
  <w:style w:type="character" w:customStyle="1" w:styleId="Heading7Char">
    <w:name w:val="Heading 7 Char"/>
    <w:basedOn w:val="DefaultParagraphFont"/>
    <w:link w:val="Heading7"/>
    <w:uiPriority w:val="4"/>
    <w:rsid w:val="00975089"/>
    <w:rPr>
      <w:rFonts w:asciiTheme="majorHAnsi" w:eastAsiaTheme="majorEastAsia" w:hAnsiTheme="majorHAnsi" w:cstheme="majorBidi"/>
      <w:iCs/>
      <w:lang w:val="en-GB"/>
    </w:rPr>
  </w:style>
  <w:style w:type="character" w:customStyle="1" w:styleId="Heading8Char">
    <w:name w:val="Heading 8 Char"/>
    <w:basedOn w:val="DefaultParagraphFont"/>
    <w:link w:val="Heading8"/>
    <w:uiPriority w:val="4"/>
    <w:rsid w:val="00975089"/>
    <w:rPr>
      <w:rFonts w:asciiTheme="majorHAnsi" w:eastAsiaTheme="majorEastAsia" w:hAnsiTheme="majorHAnsi" w:cstheme="majorBidi"/>
      <w:szCs w:val="20"/>
      <w:lang w:val="en-GB"/>
    </w:rPr>
  </w:style>
  <w:style w:type="character" w:customStyle="1" w:styleId="Heading9Char">
    <w:name w:val="Heading 9 Char"/>
    <w:basedOn w:val="DefaultParagraphFont"/>
    <w:link w:val="Heading9"/>
    <w:uiPriority w:val="4"/>
    <w:rsid w:val="00975089"/>
    <w:rPr>
      <w:rFonts w:asciiTheme="majorHAnsi" w:eastAsiaTheme="majorEastAsia" w:hAnsiTheme="majorHAnsi" w:cstheme="majorBidi"/>
      <w:iCs/>
      <w:szCs w:val="20"/>
      <w:lang w:val="en-GB"/>
    </w:rPr>
  </w:style>
  <w:style w:type="paragraph" w:styleId="BodyText">
    <w:name w:val="Body Text"/>
    <w:basedOn w:val="Normal"/>
    <w:link w:val="BodyTextChar"/>
    <w:qFormat/>
    <w:rsid w:val="00975089"/>
    <w:pPr>
      <w:spacing w:after="240" w:line="240" w:lineRule="auto"/>
    </w:pPr>
    <w:rPr>
      <w:rFonts w:eastAsiaTheme="minorHAnsi" w:cstheme="minorBidi"/>
      <w:color w:val="auto"/>
      <w:sz w:val="24"/>
      <w:lang w:val="en-GB"/>
    </w:rPr>
  </w:style>
  <w:style w:type="character" w:customStyle="1" w:styleId="BodyTextChar">
    <w:name w:val="Body Text Char"/>
    <w:basedOn w:val="DefaultParagraphFont"/>
    <w:link w:val="BodyText"/>
    <w:rsid w:val="00975089"/>
    <w:rPr>
      <w:lang w:val="en-GB"/>
    </w:rPr>
  </w:style>
  <w:style w:type="paragraph" w:styleId="BodyText2">
    <w:name w:val="Body Text 2"/>
    <w:basedOn w:val="BodyText"/>
    <w:link w:val="BodyText2Char"/>
    <w:uiPriority w:val="99"/>
    <w:rsid w:val="00975089"/>
    <w:pPr>
      <w:spacing w:after="0" w:line="480" w:lineRule="auto"/>
    </w:pPr>
  </w:style>
  <w:style w:type="character" w:customStyle="1" w:styleId="BodyText2Char">
    <w:name w:val="Body Text 2 Char"/>
    <w:basedOn w:val="DefaultParagraphFont"/>
    <w:link w:val="BodyText2"/>
    <w:uiPriority w:val="99"/>
    <w:rsid w:val="00975089"/>
    <w:rPr>
      <w:lang w:val="en-GB"/>
    </w:rPr>
  </w:style>
  <w:style w:type="paragraph" w:styleId="BodyTextFirstIndent">
    <w:name w:val="Body Text First Indent"/>
    <w:basedOn w:val="BodyText"/>
    <w:link w:val="BodyTextFirstIndentChar"/>
    <w:qFormat/>
    <w:rsid w:val="00975089"/>
    <w:pPr>
      <w:ind w:firstLine="1440"/>
    </w:pPr>
  </w:style>
  <w:style w:type="character" w:customStyle="1" w:styleId="BodyTextFirstIndentChar">
    <w:name w:val="Body Text First Indent Char"/>
    <w:basedOn w:val="BodyTextChar"/>
    <w:link w:val="BodyTextFirstIndent"/>
    <w:rsid w:val="00975089"/>
    <w:rPr>
      <w:lang w:val="en-GB"/>
    </w:rPr>
  </w:style>
  <w:style w:type="paragraph" w:styleId="BodyTextIndent">
    <w:name w:val="Body Text Indent"/>
    <w:basedOn w:val="BodyText"/>
    <w:link w:val="BodyTextIndentChar"/>
    <w:rsid w:val="00975089"/>
    <w:pPr>
      <w:ind w:left="1440"/>
    </w:pPr>
  </w:style>
  <w:style w:type="character" w:customStyle="1" w:styleId="BodyTextIndentChar">
    <w:name w:val="Body Text Indent Char"/>
    <w:basedOn w:val="DefaultParagraphFont"/>
    <w:link w:val="BodyTextIndent"/>
    <w:rsid w:val="00975089"/>
    <w:rPr>
      <w:lang w:val="en-GB"/>
    </w:rPr>
  </w:style>
  <w:style w:type="paragraph" w:styleId="BodyTextFirstIndent2">
    <w:name w:val="Body Text First Indent 2"/>
    <w:basedOn w:val="BodyTextFirstIndent"/>
    <w:link w:val="BodyTextFirstIndent2Char"/>
    <w:rsid w:val="00975089"/>
    <w:pPr>
      <w:spacing w:after="0" w:line="480" w:lineRule="auto"/>
    </w:pPr>
  </w:style>
  <w:style w:type="character" w:customStyle="1" w:styleId="BodyTextFirstIndent2Char">
    <w:name w:val="Body Text First Indent 2 Char"/>
    <w:basedOn w:val="BodyTextIndentChar"/>
    <w:link w:val="BodyTextFirstIndent2"/>
    <w:rsid w:val="00975089"/>
    <w:rPr>
      <w:lang w:val="en-GB"/>
    </w:rPr>
  </w:style>
  <w:style w:type="paragraph" w:styleId="BodyTextIndent2">
    <w:name w:val="Body Text Indent 2"/>
    <w:basedOn w:val="BodyTextIndent"/>
    <w:link w:val="BodyTextIndent2Char"/>
    <w:rsid w:val="00975089"/>
    <w:pPr>
      <w:spacing w:after="0" w:line="480" w:lineRule="auto"/>
    </w:pPr>
  </w:style>
  <w:style w:type="character" w:customStyle="1" w:styleId="BodyTextIndent2Char">
    <w:name w:val="Body Text Indent 2 Char"/>
    <w:basedOn w:val="DefaultParagraphFont"/>
    <w:link w:val="BodyTextIndent2"/>
    <w:rsid w:val="00975089"/>
    <w:rPr>
      <w:lang w:val="en-GB"/>
    </w:rPr>
  </w:style>
  <w:style w:type="paragraph" w:customStyle="1" w:styleId="BodyTextHalfIndent">
    <w:name w:val="Body Text Half Indent"/>
    <w:basedOn w:val="BodyText"/>
    <w:link w:val="BodyTextHalfIndentChar"/>
    <w:rsid w:val="00975089"/>
    <w:pPr>
      <w:ind w:left="720"/>
    </w:pPr>
  </w:style>
  <w:style w:type="paragraph" w:customStyle="1" w:styleId="BodyTextHalfIndent2">
    <w:name w:val="Body Text Half Indent 2"/>
    <w:basedOn w:val="BodyTextHalfIndent"/>
    <w:link w:val="BodyTextHalfIndent2Char"/>
    <w:rsid w:val="00975089"/>
    <w:pPr>
      <w:spacing w:after="0" w:line="480" w:lineRule="auto"/>
    </w:pPr>
  </w:style>
  <w:style w:type="character" w:customStyle="1" w:styleId="BodyTextHalfIndentChar">
    <w:name w:val="Body Text Half Indent Char"/>
    <w:basedOn w:val="BodyTextChar"/>
    <w:link w:val="BodyTextHalfIndent"/>
    <w:rsid w:val="00975089"/>
    <w:rPr>
      <w:lang w:val="en-GB"/>
    </w:rPr>
  </w:style>
  <w:style w:type="paragraph" w:customStyle="1" w:styleId="BodyTextFirstHalfIndent">
    <w:name w:val="Body Text First Half Indent"/>
    <w:basedOn w:val="BodyText"/>
    <w:link w:val="BodyTextFirstHalfIndentChar"/>
    <w:rsid w:val="00975089"/>
    <w:pPr>
      <w:ind w:firstLine="720"/>
    </w:pPr>
  </w:style>
  <w:style w:type="character" w:customStyle="1" w:styleId="BodyTextHalfIndent2Char">
    <w:name w:val="Body Text Half Indent 2 Char"/>
    <w:basedOn w:val="BodyTextHalfIndentChar"/>
    <w:link w:val="BodyTextHalfIndent2"/>
    <w:rsid w:val="00975089"/>
    <w:rPr>
      <w:lang w:val="en-GB"/>
    </w:rPr>
  </w:style>
  <w:style w:type="paragraph" w:customStyle="1" w:styleId="BodyTextFirstHalfIndent2">
    <w:name w:val="Body Text First Half Indent 2"/>
    <w:basedOn w:val="BodyTextFirstHalfIndent"/>
    <w:link w:val="BodyTextFirstHalfIndent2Char"/>
    <w:rsid w:val="00975089"/>
    <w:pPr>
      <w:spacing w:after="0" w:line="480" w:lineRule="auto"/>
    </w:pPr>
  </w:style>
  <w:style w:type="character" w:customStyle="1" w:styleId="BodyTextFirstHalfIndentChar">
    <w:name w:val="Body Text First Half Indent Char"/>
    <w:basedOn w:val="BodyTextChar"/>
    <w:link w:val="BodyTextFirstHalfIndent"/>
    <w:rsid w:val="00975089"/>
    <w:rPr>
      <w:lang w:val="en-GB"/>
    </w:rPr>
  </w:style>
  <w:style w:type="paragraph" w:styleId="EnvelopeAddress">
    <w:name w:val="envelope address"/>
    <w:basedOn w:val="Normal"/>
    <w:uiPriority w:val="99"/>
    <w:semiHidden/>
    <w:unhideWhenUsed/>
    <w:rsid w:val="00975089"/>
    <w:pPr>
      <w:framePr w:w="7920" w:h="1987" w:hRule="exact" w:hSpace="187" w:wrap="around" w:hAnchor="page" w:xAlign="center" w:yAlign="bottom"/>
      <w:spacing w:line="240" w:lineRule="auto"/>
      <w:ind w:left="2880"/>
    </w:pPr>
    <w:rPr>
      <w:rFonts w:eastAsiaTheme="majorEastAsia" w:cstheme="majorBidi"/>
      <w:color w:val="auto"/>
      <w:sz w:val="24"/>
      <w:lang w:val="en-GB"/>
    </w:rPr>
  </w:style>
  <w:style w:type="character" w:customStyle="1" w:styleId="BodyTextFirstHalfIndent2Char">
    <w:name w:val="Body Text First Half Indent 2 Char"/>
    <w:basedOn w:val="BodyTextFirstHalfIndentChar"/>
    <w:link w:val="BodyTextFirstHalfIndent2"/>
    <w:rsid w:val="00975089"/>
    <w:rPr>
      <w:lang w:val="en-GB"/>
    </w:rPr>
  </w:style>
  <w:style w:type="paragraph" w:styleId="EnvelopeReturn">
    <w:name w:val="envelope return"/>
    <w:basedOn w:val="Normal"/>
    <w:uiPriority w:val="99"/>
    <w:semiHidden/>
    <w:unhideWhenUsed/>
    <w:rsid w:val="00975089"/>
    <w:pPr>
      <w:spacing w:line="240" w:lineRule="auto"/>
    </w:pPr>
    <w:rPr>
      <w:rFonts w:eastAsiaTheme="majorEastAsia" w:cstheme="majorBidi"/>
      <w:color w:val="auto"/>
      <w:szCs w:val="20"/>
      <w:lang w:val="en-GB"/>
    </w:rPr>
  </w:style>
  <w:style w:type="paragraph" w:styleId="NormalIndent">
    <w:name w:val="Normal Indent"/>
    <w:basedOn w:val="Normal"/>
    <w:uiPriority w:val="99"/>
    <w:semiHidden/>
    <w:unhideWhenUsed/>
    <w:rsid w:val="00975089"/>
    <w:pPr>
      <w:spacing w:line="240" w:lineRule="auto"/>
      <w:ind w:left="1440"/>
    </w:pPr>
    <w:rPr>
      <w:rFonts w:eastAsiaTheme="minorHAnsi" w:cstheme="minorBidi"/>
      <w:color w:val="auto"/>
      <w:sz w:val="24"/>
      <w:lang w:val="en-GB"/>
    </w:rPr>
  </w:style>
  <w:style w:type="paragraph" w:customStyle="1" w:styleId="NormalHalfIndent">
    <w:name w:val="Normal Half Indent"/>
    <w:basedOn w:val="Normal"/>
    <w:semiHidden/>
    <w:rsid w:val="00975089"/>
    <w:pPr>
      <w:spacing w:line="240" w:lineRule="auto"/>
      <w:ind w:left="720"/>
    </w:pPr>
    <w:rPr>
      <w:rFonts w:eastAsiaTheme="minorHAnsi" w:cstheme="minorBidi"/>
      <w:color w:val="auto"/>
      <w:sz w:val="24"/>
      <w:lang w:val="en-GB"/>
    </w:rPr>
  </w:style>
  <w:style w:type="paragraph" w:styleId="Salutation">
    <w:name w:val="Salutation"/>
    <w:basedOn w:val="Normal"/>
    <w:next w:val="Normal"/>
    <w:link w:val="SalutationChar"/>
    <w:uiPriority w:val="99"/>
    <w:rsid w:val="00975089"/>
    <w:pPr>
      <w:spacing w:after="240" w:line="240" w:lineRule="auto"/>
    </w:pPr>
    <w:rPr>
      <w:rFonts w:eastAsiaTheme="minorHAnsi" w:cstheme="minorBidi"/>
      <w:color w:val="auto"/>
      <w:sz w:val="24"/>
      <w:lang w:val="en-GB"/>
    </w:rPr>
  </w:style>
  <w:style w:type="character" w:customStyle="1" w:styleId="SalutationChar">
    <w:name w:val="Salutation Char"/>
    <w:basedOn w:val="DefaultParagraphFont"/>
    <w:link w:val="Salutation"/>
    <w:uiPriority w:val="99"/>
    <w:rsid w:val="00975089"/>
    <w:rPr>
      <w:lang w:val="en-GB"/>
    </w:rPr>
  </w:style>
  <w:style w:type="paragraph" w:styleId="Title">
    <w:name w:val="Title"/>
    <w:basedOn w:val="Normal"/>
    <w:next w:val="Normal"/>
    <w:link w:val="TitleChar"/>
    <w:uiPriority w:val="10"/>
    <w:qFormat/>
    <w:rsid w:val="00975089"/>
    <w:pPr>
      <w:spacing w:after="240" w:line="240" w:lineRule="auto"/>
      <w:contextualSpacing/>
      <w:jc w:val="center"/>
      <w:outlineLvl w:val="0"/>
    </w:pPr>
    <w:rPr>
      <w:rFonts w:asciiTheme="majorHAnsi" w:eastAsiaTheme="majorEastAsia" w:hAnsiTheme="majorHAnsi" w:cstheme="majorBidi"/>
      <w:b/>
      <w:color w:val="auto"/>
      <w:sz w:val="24"/>
      <w:szCs w:val="52"/>
      <w:lang w:val="en-GB"/>
    </w:rPr>
  </w:style>
  <w:style w:type="character" w:customStyle="1" w:styleId="TitleChar">
    <w:name w:val="Title Char"/>
    <w:basedOn w:val="DefaultParagraphFont"/>
    <w:link w:val="Title"/>
    <w:uiPriority w:val="10"/>
    <w:rsid w:val="00975089"/>
    <w:rPr>
      <w:rFonts w:asciiTheme="majorHAnsi" w:eastAsiaTheme="majorEastAsia" w:hAnsiTheme="majorHAnsi" w:cstheme="majorBidi"/>
      <w:b/>
      <w:szCs w:val="52"/>
      <w:lang w:val="en-GB"/>
    </w:rPr>
  </w:style>
  <w:style w:type="paragraph" w:styleId="FootnoteText">
    <w:name w:val="footnote text"/>
    <w:basedOn w:val="Normal"/>
    <w:link w:val="FootnoteTextChar"/>
    <w:uiPriority w:val="99"/>
    <w:unhideWhenUsed/>
    <w:rsid w:val="00975089"/>
    <w:pPr>
      <w:spacing w:after="120" w:line="260" w:lineRule="exact"/>
    </w:pPr>
    <w:rPr>
      <w:rFonts w:eastAsiaTheme="minorHAnsi" w:cstheme="minorBidi"/>
      <w:color w:val="auto"/>
      <w:sz w:val="24"/>
      <w:szCs w:val="20"/>
      <w:lang w:val="en-GB"/>
    </w:rPr>
  </w:style>
  <w:style w:type="character" w:customStyle="1" w:styleId="FootnoteTextChar">
    <w:name w:val="Footnote Text Char"/>
    <w:basedOn w:val="DefaultParagraphFont"/>
    <w:link w:val="FootnoteText"/>
    <w:uiPriority w:val="99"/>
    <w:rsid w:val="00975089"/>
    <w:rPr>
      <w:szCs w:val="20"/>
      <w:lang w:val="en-GB"/>
    </w:rPr>
  </w:style>
  <w:style w:type="character" w:styleId="FootnoteReference">
    <w:name w:val="footnote reference"/>
    <w:basedOn w:val="DefaultParagraphFont"/>
    <w:uiPriority w:val="99"/>
    <w:unhideWhenUsed/>
    <w:rsid w:val="00975089"/>
    <w:rPr>
      <w:vertAlign w:val="superscript"/>
    </w:rPr>
  </w:style>
  <w:style w:type="paragraph" w:styleId="BlockText">
    <w:name w:val="Block Text"/>
    <w:basedOn w:val="Normal"/>
    <w:link w:val="BlockTextChar"/>
    <w:uiPriority w:val="2"/>
    <w:qFormat/>
    <w:rsid w:val="00975089"/>
    <w:pPr>
      <w:spacing w:after="240" w:line="240" w:lineRule="auto"/>
      <w:ind w:left="1440" w:right="1440"/>
    </w:pPr>
    <w:rPr>
      <w:rFonts w:cstheme="minorBidi"/>
      <w:iCs/>
      <w:color w:val="auto"/>
      <w:sz w:val="24"/>
      <w:lang w:val="en-GB"/>
    </w:rPr>
  </w:style>
  <w:style w:type="paragraph" w:styleId="EndnoteText">
    <w:name w:val="endnote text"/>
    <w:basedOn w:val="Normal"/>
    <w:link w:val="EndnoteTextChar"/>
    <w:uiPriority w:val="99"/>
    <w:semiHidden/>
    <w:unhideWhenUsed/>
    <w:rsid w:val="00975089"/>
    <w:pPr>
      <w:spacing w:line="240" w:lineRule="auto"/>
    </w:pPr>
    <w:rPr>
      <w:rFonts w:eastAsiaTheme="minorHAnsi" w:cstheme="minorBidi"/>
      <w:color w:val="auto"/>
      <w:sz w:val="24"/>
      <w:szCs w:val="20"/>
      <w:lang w:val="en-GB"/>
    </w:rPr>
  </w:style>
  <w:style w:type="character" w:customStyle="1" w:styleId="EndnoteTextChar">
    <w:name w:val="Endnote Text Char"/>
    <w:basedOn w:val="DefaultParagraphFont"/>
    <w:link w:val="EndnoteText"/>
    <w:uiPriority w:val="99"/>
    <w:semiHidden/>
    <w:rsid w:val="00975089"/>
    <w:rPr>
      <w:szCs w:val="20"/>
      <w:lang w:val="en-GB"/>
    </w:rPr>
  </w:style>
  <w:style w:type="numbering" w:customStyle="1" w:styleId="CovingtonHeadings">
    <w:name w:val="Covington Headings"/>
    <w:uiPriority w:val="99"/>
    <w:rsid w:val="00975089"/>
    <w:pPr>
      <w:numPr>
        <w:numId w:val="5"/>
      </w:numPr>
    </w:pPr>
  </w:style>
  <w:style w:type="paragraph" w:styleId="Subtitle">
    <w:name w:val="Subtitle"/>
    <w:basedOn w:val="Normal"/>
    <w:next w:val="Normal"/>
    <w:link w:val="SubtitleChar"/>
    <w:uiPriority w:val="11"/>
    <w:qFormat/>
    <w:rsid w:val="00975089"/>
    <w:pPr>
      <w:numPr>
        <w:ilvl w:val="1"/>
      </w:numPr>
      <w:spacing w:after="240" w:line="240" w:lineRule="auto"/>
      <w:outlineLvl w:val="1"/>
    </w:pPr>
    <w:rPr>
      <w:rFonts w:asciiTheme="majorHAnsi" w:eastAsiaTheme="majorEastAsia" w:hAnsiTheme="majorHAnsi" w:cstheme="majorBidi"/>
      <w:iCs/>
      <w:color w:val="auto"/>
      <w:sz w:val="24"/>
      <w:u w:val="single"/>
      <w:lang w:val="en-GB"/>
    </w:rPr>
  </w:style>
  <w:style w:type="character" w:customStyle="1" w:styleId="SubtitleChar">
    <w:name w:val="Subtitle Char"/>
    <w:basedOn w:val="DefaultParagraphFont"/>
    <w:link w:val="Subtitle"/>
    <w:uiPriority w:val="11"/>
    <w:rsid w:val="00975089"/>
    <w:rPr>
      <w:rFonts w:asciiTheme="majorHAnsi" w:eastAsiaTheme="majorEastAsia" w:hAnsiTheme="majorHAnsi" w:cstheme="majorBidi"/>
      <w:iCs/>
      <w:u w:val="single"/>
      <w:lang w:val="en-GB"/>
    </w:rPr>
  </w:style>
  <w:style w:type="paragraph" w:customStyle="1" w:styleId="SubtitleCentered">
    <w:name w:val="Subtitle Centered"/>
    <w:basedOn w:val="Subtitle"/>
    <w:link w:val="SubtitleCenteredChar"/>
    <w:uiPriority w:val="11"/>
    <w:qFormat/>
    <w:rsid w:val="00975089"/>
    <w:pPr>
      <w:jc w:val="center"/>
    </w:pPr>
  </w:style>
  <w:style w:type="numbering" w:customStyle="1" w:styleId="ListBullets">
    <w:name w:val="ListBullets"/>
    <w:uiPriority w:val="99"/>
    <w:rsid w:val="00975089"/>
    <w:pPr>
      <w:numPr>
        <w:numId w:val="7"/>
      </w:numPr>
    </w:pPr>
  </w:style>
  <w:style w:type="numbering" w:customStyle="1" w:styleId="ListNumbers">
    <w:name w:val="ListNumbers"/>
    <w:uiPriority w:val="99"/>
    <w:rsid w:val="00975089"/>
    <w:pPr>
      <w:numPr>
        <w:numId w:val="8"/>
      </w:numPr>
    </w:pPr>
  </w:style>
  <w:style w:type="paragraph" w:styleId="ListBullet">
    <w:name w:val="List Bullet"/>
    <w:basedOn w:val="Normal"/>
    <w:uiPriority w:val="6"/>
    <w:qFormat/>
    <w:rsid w:val="00975089"/>
    <w:pPr>
      <w:numPr>
        <w:numId w:val="13"/>
      </w:numPr>
      <w:spacing w:after="240" w:line="240" w:lineRule="auto"/>
    </w:pPr>
    <w:rPr>
      <w:rFonts w:eastAsiaTheme="minorHAnsi" w:cstheme="minorBidi"/>
      <w:color w:val="auto"/>
      <w:sz w:val="24"/>
      <w:lang w:val="en-GB"/>
    </w:rPr>
  </w:style>
  <w:style w:type="paragraph" w:styleId="ListBullet2">
    <w:name w:val="List Bullet 2"/>
    <w:basedOn w:val="Normal"/>
    <w:uiPriority w:val="6"/>
    <w:qFormat/>
    <w:rsid w:val="00975089"/>
    <w:pPr>
      <w:numPr>
        <w:ilvl w:val="1"/>
        <w:numId w:val="13"/>
      </w:numPr>
      <w:spacing w:after="240" w:line="240" w:lineRule="auto"/>
    </w:pPr>
    <w:rPr>
      <w:rFonts w:eastAsiaTheme="minorHAnsi" w:cstheme="minorBidi"/>
      <w:color w:val="auto"/>
      <w:sz w:val="24"/>
      <w:lang w:val="en-GB"/>
    </w:rPr>
  </w:style>
  <w:style w:type="paragraph" w:styleId="ListBullet3">
    <w:name w:val="List Bullet 3"/>
    <w:basedOn w:val="Normal"/>
    <w:uiPriority w:val="6"/>
    <w:rsid w:val="00975089"/>
    <w:pPr>
      <w:numPr>
        <w:ilvl w:val="2"/>
        <w:numId w:val="13"/>
      </w:numPr>
      <w:spacing w:after="240" w:line="240" w:lineRule="auto"/>
    </w:pPr>
    <w:rPr>
      <w:rFonts w:eastAsiaTheme="minorHAnsi" w:cstheme="minorBidi"/>
      <w:color w:val="auto"/>
      <w:sz w:val="24"/>
      <w:lang w:val="en-GB"/>
    </w:rPr>
  </w:style>
  <w:style w:type="paragraph" w:styleId="ListBullet4">
    <w:name w:val="List Bullet 4"/>
    <w:basedOn w:val="Normal"/>
    <w:uiPriority w:val="6"/>
    <w:rsid w:val="00975089"/>
    <w:pPr>
      <w:numPr>
        <w:ilvl w:val="3"/>
        <w:numId w:val="13"/>
      </w:numPr>
      <w:spacing w:after="240" w:line="240" w:lineRule="auto"/>
    </w:pPr>
    <w:rPr>
      <w:rFonts w:eastAsiaTheme="minorHAnsi" w:cstheme="minorBidi"/>
      <w:color w:val="auto"/>
      <w:sz w:val="24"/>
      <w:lang w:val="en-GB"/>
    </w:rPr>
  </w:style>
  <w:style w:type="paragraph" w:styleId="ListBullet5">
    <w:name w:val="List Bullet 5"/>
    <w:basedOn w:val="Normal"/>
    <w:uiPriority w:val="6"/>
    <w:rsid w:val="00975089"/>
    <w:pPr>
      <w:numPr>
        <w:ilvl w:val="4"/>
        <w:numId w:val="13"/>
      </w:numPr>
      <w:spacing w:after="240" w:line="240" w:lineRule="auto"/>
    </w:pPr>
    <w:rPr>
      <w:rFonts w:eastAsiaTheme="minorHAnsi" w:cstheme="minorBidi"/>
      <w:color w:val="auto"/>
      <w:sz w:val="24"/>
      <w:lang w:val="en-GB"/>
    </w:rPr>
  </w:style>
  <w:style w:type="paragraph" w:styleId="List">
    <w:name w:val="List"/>
    <w:basedOn w:val="Normal"/>
    <w:uiPriority w:val="5"/>
    <w:semiHidden/>
    <w:qFormat/>
    <w:rsid w:val="00975089"/>
    <w:pPr>
      <w:spacing w:after="240" w:line="240" w:lineRule="auto"/>
      <w:ind w:left="360" w:hanging="360"/>
    </w:pPr>
    <w:rPr>
      <w:rFonts w:eastAsiaTheme="minorHAnsi" w:cstheme="minorBidi"/>
      <w:color w:val="auto"/>
      <w:sz w:val="24"/>
      <w:lang w:val="en-GB"/>
    </w:rPr>
  </w:style>
  <w:style w:type="paragraph" w:styleId="ListNumber">
    <w:name w:val="List Number"/>
    <w:basedOn w:val="Normal"/>
    <w:uiPriority w:val="7"/>
    <w:qFormat/>
    <w:rsid w:val="00975089"/>
    <w:pPr>
      <w:numPr>
        <w:numId w:val="14"/>
      </w:numPr>
      <w:spacing w:after="240" w:line="240" w:lineRule="auto"/>
    </w:pPr>
    <w:rPr>
      <w:rFonts w:eastAsiaTheme="minorHAnsi" w:cstheme="minorBidi"/>
      <w:color w:val="auto"/>
      <w:sz w:val="24"/>
      <w:lang w:val="en-GB"/>
    </w:rPr>
  </w:style>
  <w:style w:type="paragraph" w:styleId="ListNumber2">
    <w:name w:val="List Number 2"/>
    <w:basedOn w:val="Normal"/>
    <w:uiPriority w:val="7"/>
    <w:qFormat/>
    <w:rsid w:val="00975089"/>
    <w:pPr>
      <w:numPr>
        <w:ilvl w:val="1"/>
        <w:numId w:val="14"/>
      </w:numPr>
      <w:spacing w:after="240" w:line="240" w:lineRule="auto"/>
    </w:pPr>
    <w:rPr>
      <w:rFonts w:eastAsiaTheme="minorHAnsi" w:cstheme="minorBidi"/>
      <w:color w:val="auto"/>
      <w:sz w:val="24"/>
      <w:lang w:val="en-GB"/>
    </w:rPr>
  </w:style>
  <w:style w:type="paragraph" w:styleId="ListNumber3">
    <w:name w:val="List Number 3"/>
    <w:basedOn w:val="Normal"/>
    <w:uiPriority w:val="7"/>
    <w:rsid w:val="00975089"/>
    <w:pPr>
      <w:numPr>
        <w:ilvl w:val="2"/>
        <w:numId w:val="14"/>
      </w:numPr>
      <w:spacing w:after="240" w:line="240" w:lineRule="auto"/>
    </w:pPr>
    <w:rPr>
      <w:rFonts w:eastAsiaTheme="minorHAnsi" w:cstheme="minorBidi"/>
      <w:color w:val="auto"/>
      <w:sz w:val="24"/>
      <w:lang w:val="en-GB"/>
    </w:rPr>
  </w:style>
  <w:style w:type="paragraph" w:styleId="ListNumber4">
    <w:name w:val="List Number 4"/>
    <w:basedOn w:val="Normal"/>
    <w:uiPriority w:val="7"/>
    <w:rsid w:val="00975089"/>
    <w:pPr>
      <w:numPr>
        <w:ilvl w:val="3"/>
        <w:numId w:val="14"/>
      </w:numPr>
      <w:spacing w:after="240" w:line="240" w:lineRule="auto"/>
    </w:pPr>
    <w:rPr>
      <w:rFonts w:eastAsiaTheme="minorHAnsi" w:cstheme="minorBidi"/>
      <w:color w:val="auto"/>
      <w:sz w:val="24"/>
      <w:lang w:val="en-GB"/>
    </w:rPr>
  </w:style>
  <w:style w:type="paragraph" w:styleId="List2">
    <w:name w:val="List 2"/>
    <w:basedOn w:val="Normal"/>
    <w:uiPriority w:val="5"/>
    <w:semiHidden/>
    <w:qFormat/>
    <w:rsid w:val="00975089"/>
    <w:pPr>
      <w:spacing w:after="240" w:line="240" w:lineRule="auto"/>
      <w:ind w:left="720" w:hanging="360"/>
    </w:pPr>
    <w:rPr>
      <w:rFonts w:eastAsiaTheme="minorHAnsi" w:cstheme="minorBidi"/>
      <w:color w:val="auto"/>
      <w:sz w:val="24"/>
      <w:lang w:val="en-GB"/>
    </w:rPr>
  </w:style>
  <w:style w:type="paragraph" w:styleId="List3">
    <w:name w:val="List 3"/>
    <w:basedOn w:val="Normal"/>
    <w:uiPriority w:val="5"/>
    <w:semiHidden/>
    <w:rsid w:val="00975089"/>
    <w:pPr>
      <w:spacing w:after="240" w:line="240" w:lineRule="auto"/>
      <w:ind w:left="1080" w:hanging="360"/>
    </w:pPr>
    <w:rPr>
      <w:rFonts w:eastAsiaTheme="minorHAnsi" w:cstheme="minorBidi"/>
      <w:color w:val="auto"/>
      <w:sz w:val="24"/>
      <w:lang w:val="en-GB"/>
    </w:rPr>
  </w:style>
  <w:style w:type="paragraph" w:styleId="List4">
    <w:name w:val="List 4"/>
    <w:basedOn w:val="Normal"/>
    <w:uiPriority w:val="5"/>
    <w:semiHidden/>
    <w:rsid w:val="00975089"/>
    <w:pPr>
      <w:spacing w:after="240" w:line="240" w:lineRule="auto"/>
      <w:ind w:left="1440" w:hanging="360"/>
    </w:pPr>
    <w:rPr>
      <w:rFonts w:eastAsiaTheme="minorHAnsi" w:cstheme="minorBidi"/>
      <w:color w:val="auto"/>
      <w:sz w:val="24"/>
      <w:lang w:val="en-GB"/>
    </w:rPr>
  </w:style>
  <w:style w:type="paragraph" w:styleId="List5">
    <w:name w:val="List 5"/>
    <w:basedOn w:val="Normal"/>
    <w:uiPriority w:val="5"/>
    <w:semiHidden/>
    <w:rsid w:val="00975089"/>
    <w:pPr>
      <w:spacing w:after="240" w:line="240" w:lineRule="auto"/>
      <w:ind w:left="1800" w:hanging="360"/>
    </w:pPr>
    <w:rPr>
      <w:rFonts w:eastAsiaTheme="minorHAnsi" w:cstheme="minorBidi"/>
      <w:color w:val="auto"/>
      <w:sz w:val="24"/>
      <w:lang w:val="en-GB"/>
    </w:rPr>
  </w:style>
  <w:style w:type="paragraph" w:styleId="ListContinue">
    <w:name w:val="List Continue"/>
    <w:basedOn w:val="Normal"/>
    <w:uiPriority w:val="8"/>
    <w:qFormat/>
    <w:rsid w:val="00975089"/>
    <w:pPr>
      <w:spacing w:after="240" w:line="240" w:lineRule="auto"/>
      <w:ind w:left="360"/>
    </w:pPr>
    <w:rPr>
      <w:rFonts w:eastAsiaTheme="minorHAnsi" w:cstheme="minorBidi"/>
      <w:color w:val="auto"/>
      <w:sz w:val="24"/>
      <w:lang w:val="en-GB"/>
    </w:rPr>
  </w:style>
  <w:style w:type="paragraph" w:styleId="ListContinue2">
    <w:name w:val="List Continue 2"/>
    <w:basedOn w:val="Normal"/>
    <w:uiPriority w:val="8"/>
    <w:qFormat/>
    <w:rsid w:val="00975089"/>
    <w:pPr>
      <w:spacing w:after="240" w:line="240" w:lineRule="auto"/>
      <w:ind w:left="720"/>
    </w:pPr>
    <w:rPr>
      <w:rFonts w:eastAsiaTheme="minorHAnsi" w:cstheme="minorBidi"/>
      <w:color w:val="auto"/>
      <w:sz w:val="24"/>
      <w:lang w:val="en-GB"/>
    </w:rPr>
  </w:style>
  <w:style w:type="paragraph" w:styleId="ListContinue3">
    <w:name w:val="List Continue 3"/>
    <w:basedOn w:val="Normal"/>
    <w:uiPriority w:val="8"/>
    <w:rsid w:val="00975089"/>
    <w:pPr>
      <w:spacing w:after="240" w:line="240" w:lineRule="auto"/>
      <w:ind w:left="1080"/>
    </w:pPr>
    <w:rPr>
      <w:rFonts w:eastAsiaTheme="minorHAnsi" w:cstheme="minorBidi"/>
      <w:color w:val="auto"/>
      <w:sz w:val="24"/>
      <w:lang w:val="en-GB"/>
    </w:rPr>
  </w:style>
  <w:style w:type="paragraph" w:styleId="ListContinue4">
    <w:name w:val="List Continue 4"/>
    <w:basedOn w:val="Normal"/>
    <w:uiPriority w:val="8"/>
    <w:rsid w:val="00975089"/>
    <w:pPr>
      <w:spacing w:after="240" w:line="240" w:lineRule="auto"/>
      <w:ind w:left="1440"/>
    </w:pPr>
    <w:rPr>
      <w:rFonts w:eastAsiaTheme="minorHAnsi" w:cstheme="minorBidi"/>
      <w:color w:val="auto"/>
      <w:sz w:val="24"/>
      <w:lang w:val="en-GB"/>
    </w:rPr>
  </w:style>
  <w:style w:type="paragraph" w:styleId="ListContinue5">
    <w:name w:val="List Continue 5"/>
    <w:basedOn w:val="Normal"/>
    <w:uiPriority w:val="8"/>
    <w:rsid w:val="00975089"/>
    <w:pPr>
      <w:spacing w:after="240" w:line="240" w:lineRule="auto"/>
      <w:ind w:left="1800"/>
    </w:pPr>
    <w:rPr>
      <w:rFonts w:eastAsiaTheme="minorHAnsi" w:cstheme="minorBidi"/>
      <w:color w:val="auto"/>
      <w:sz w:val="24"/>
      <w:lang w:val="en-GB"/>
    </w:rPr>
  </w:style>
  <w:style w:type="paragraph" w:styleId="ListNumber5">
    <w:name w:val="List Number 5"/>
    <w:basedOn w:val="Normal"/>
    <w:uiPriority w:val="7"/>
    <w:rsid w:val="00975089"/>
    <w:pPr>
      <w:numPr>
        <w:ilvl w:val="4"/>
        <w:numId w:val="14"/>
      </w:numPr>
      <w:spacing w:after="240" w:line="240" w:lineRule="auto"/>
    </w:pPr>
    <w:rPr>
      <w:rFonts w:eastAsiaTheme="minorHAnsi" w:cstheme="minorBidi"/>
      <w:color w:val="auto"/>
      <w:sz w:val="24"/>
      <w:lang w:val="en-GB"/>
    </w:rPr>
  </w:style>
  <w:style w:type="character" w:customStyle="1" w:styleId="SubtitleCenteredChar">
    <w:name w:val="Subtitle Centered Char"/>
    <w:basedOn w:val="SubtitleChar"/>
    <w:link w:val="SubtitleCentered"/>
    <w:uiPriority w:val="11"/>
    <w:rsid w:val="00975089"/>
    <w:rPr>
      <w:rFonts w:asciiTheme="majorHAnsi" w:eastAsiaTheme="majorEastAsia" w:hAnsiTheme="majorHAnsi" w:cstheme="majorBidi"/>
      <w:iCs/>
      <w:u w:val="single"/>
      <w:lang w:val="en-GB"/>
    </w:rPr>
  </w:style>
  <w:style w:type="character" w:customStyle="1" w:styleId="BlockTextChar">
    <w:name w:val="Block Text Char"/>
    <w:basedOn w:val="DefaultParagraphFont"/>
    <w:link w:val="BlockText"/>
    <w:uiPriority w:val="2"/>
    <w:rsid w:val="00975089"/>
    <w:rPr>
      <w:rFonts w:eastAsiaTheme="minorEastAsia"/>
      <w:iCs/>
      <w:lang w:val="en-GB"/>
    </w:rPr>
  </w:style>
  <w:style w:type="paragraph" w:customStyle="1" w:styleId="LetteredParagraphDouble">
    <w:name w:val="Lettered Paragraph Double"/>
    <w:basedOn w:val="Normal"/>
    <w:link w:val="LetteredParagraphDoubleChar"/>
    <w:unhideWhenUsed/>
    <w:rsid w:val="00975089"/>
    <w:pPr>
      <w:numPr>
        <w:numId w:val="9"/>
      </w:numPr>
      <w:tabs>
        <w:tab w:val="left" w:pos="1800"/>
      </w:tabs>
      <w:spacing w:line="480" w:lineRule="auto"/>
    </w:pPr>
    <w:rPr>
      <w:rFonts w:eastAsiaTheme="minorHAnsi" w:cstheme="minorBidi"/>
      <w:color w:val="auto"/>
      <w:sz w:val="24"/>
      <w:lang w:val="en-GB"/>
    </w:rPr>
  </w:style>
  <w:style w:type="paragraph" w:customStyle="1" w:styleId="LetteredParagraphSingle">
    <w:name w:val="Lettered Paragraph Single"/>
    <w:basedOn w:val="Normal"/>
    <w:link w:val="LetteredParagraphSingleChar"/>
    <w:unhideWhenUsed/>
    <w:rsid w:val="00975089"/>
    <w:pPr>
      <w:numPr>
        <w:numId w:val="10"/>
      </w:numPr>
      <w:tabs>
        <w:tab w:val="left" w:pos="1800"/>
      </w:tabs>
      <w:spacing w:after="240" w:line="240" w:lineRule="auto"/>
    </w:pPr>
    <w:rPr>
      <w:rFonts w:eastAsiaTheme="minorHAnsi" w:cstheme="minorBidi"/>
      <w:color w:val="auto"/>
      <w:sz w:val="24"/>
      <w:lang w:val="en-GB"/>
    </w:rPr>
  </w:style>
  <w:style w:type="character" w:customStyle="1" w:styleId="LetteredParagraphDoubleChar">
    <w:name w:val="Lettered Paragraph Double Char"/>
    <w:basedOn w:val="DefaultParagraphFont"/>
    <w:link w:val="LetteredParagraphDouble"/>
    <w:rsid w:val="00975089"/>
    <w:rPr>
      <w:lang w:val="en-GB"/>
    </w:rPr>
  </w:style>
  <w:style w:type="paragraph" w:customStyle="1" w:styleId="NumberedParagraphDouble">
    <w:name w:val="Numbered Paragraph Double"/>
    <w:basedOn w:val="Normal"/>
    <w:link w:val="NumberedParagraphDoubleChar"/>
    <w:rsid w:val="00975089"/>
    <w:pPr>
      <w:numPr>
        <w:numId w:val="11"/>
      </w:numPr>
      <w:tabs>
        <w:tab w:val="left" w:pos="720"/>
      </w:tabs>
      <w:spacing w:line="480" w:lineRule="auto"/>
    </w:pPr>
    <w:rPr>
      <w:rFonts w:eastAsiaTheme="minorHAnsi" w:cstheme="minorBidi"/>
      <w:color w:val="auto"/>
      <w:sz w:val="24"/>
      <w:lang w:val="en-GB"/>
    </w:rPr>
  </w:style>
  <w:style w:type="character" w:customStyle="1" w:styleId="LetteredParagraphSingleChar">
    <w:name w:val="Lettered Paragraph Single Char"/>
    <w:basedOn w:val="DefaultParagraphFont"/>
    <w:link w:val="LetteredParagraphSingle"/>
    <w:rsid w:val="00975089"/>
    <w:rPr>
      <w:lang w:val="en-GB"/>
    </w:rPr>
  </w:style>
  <w:style w:type="paragraph" w:customStyle="1" w:styleId="NumberedParagraphSingle">
    <w:name w:val="Numbered Paragraph Single"/>
    <w:basedOn w:val="Normal"/>
    <w:link w:val="NumberedParagraphSingleChar"/>
    <w:rsid w:val="00975089"/>
    <w:pPr>
      <w:numPr>
        <w:numId w:val="12"/>
      </w:numPr>
      <w:tabs>
        <w:tab w:val="left" w:pos="1800"/>
      </w:tabs>
      <w:spacing w:after="240" w:line="240" w:lineRule="auto"/>
    </w:pPr>
    <w:rPr>
      <w:rFonts w:eastAsiaTheme="minorHAnsi" w:cstheme="minorBidi"/>
      <w:color w:val="auto"/>
      <w:sz w:val="24"/>
      <w:lang w:val="en-GB"/>
    </w:rPr>
  </w:style>
  <w:style w:type="character" w:customStyle="1" w:styleId="NumberedParagraphDoubleChar">
    <w:name w:val="Numbered Paragraph Double Char"/>
    <w:basedOn w:val="DefaultParagraphFont"/>
    <w:link w:val="NumberedParagraphDouble"/>
    <w:rsid w:val="00975089"/>
    <w:rPr>
      <w:lang w:val="en-GB"/>
    </w:rPr>
  </w:style>
  <w:style w:type="paragraph" w:customStyle="1" w:styleId="Re">
    <w:name w:val="Re"/>
    <w:basedOn w:val="Normal"/>
    <w:next w:val="Salutation"/>
    <w:uiPriority w:val="19"/>
    <w:rsid w:val="00975089"/>
    <w:pPr>
      <w:tabs>
        <w:tab w:val="left" w:pos="2160"/>
      </w:tabs>
      <w:spacing w:before="240" w:after="240" w:line="240" w:lineRule="auto"/>
      <w:ind w:left="2160" w:right="1440" w:hanging="720"/>
      <w:contextualSpacing/>
    </w:pPr>
    <w:rPr>
      <w:rFonts w:eastAsiaTheme="minorHAnsi" w:cstheme="minorBidi"/>
      <w:color w:val="auto"/>
      <w:sz w:val="24"/>
      <w:lang w:val="en-GB"/>
    </w:rPr>
  </w:style>
  <w:style w:type="character" w:customStyle="1" w:styleId="NumberedParagraphSingleChar">
    <w:name w:val="Numbered Paragraph Single Char"/>
    <w:basedOn w:val="DefaultParagraphFont"/>
    <w:link w:val="NumberedParagraphSingle"/>
    <w:rsid w:val="00975089"/>
    <w:rPr>
      <w:lang w:val="en-GB"/>
    </w:rPr>
  </w:style>
  <w:style w:type="paragraph" w:customStyle="1" w:styleId="TableEnd">
    <w:name w:val="Table End"/>
    <w:basedOn w:val="Normal"/>
    <w:uiPriority w:val="19"/>
    <w:rsid w:val="00975089"/>
    <w:pPr>
      <w:spacing w:before="60" w:after="180" w:line="240" w:lineRule="auto"/>
    </w:pPr>
    <w:rPr>
      <w:rFonts w:eastAsiaTheme="minorHAnsi" w:cstheme="minorBidi"/>
      <w:color w:val="auto"/>
      <w:sz w:val="24"/>
      <w:lang w:val="en-GB"/>
    </w:rPr>
  </w:style>
  <w:style w:type="paragraph" w:customStyle="1" w:styleId="TableHeading">
    <w:name w:val="Table Heading"/>
    <w:basedOn w:val="Normal"/>
    <w:uiPriority w:val="19"/>
    <w:rsid w:val="00975089"/>
    <w:pPr>
      <w:keepNext/>
      <w:spacing w:before="240" w:after="60" w:line="240" w:lineRule="auto"/>
      <w:jc w:val="center"/>
    </w:pPr>
    <w:rPr>
      <w:rFonts w:eastAsiaTheme="minorHAnsi" w:cstheme="minorBidi"/>
      <w:b/>
      <w:color w:val="auto"/>
      <w:sz w:val="24"/>
      <w:lang w:val="en-GB"/>
    </w:rPr>
  </w:style>
  <w:style w:type="paragraph" w:customStyle="1" w:styleId="TableText">
    <w:name w:val="Table Text"/>
    <w:basedOn w:val="Normal"/>
    <w:uiPriority w:val="19"/>
    <w:rsid w:val="00975089"/>
    <w:pPr>
      <w:spacing w:before="60" w:after="60" w:line="240" w:lineRule="auto"/>
    </w:pPr>
    <w:rPr>
      <w:rFonts w:eastAsiaTheme="minorHAnsi" w:cstheme="minorBidi"/>
      <w:color w:val="auto"/>
      <w:sz w:val="24"/>
      <w:lang w:val="en-GB"/>
    </w:rPr>
  </w:style>
  <w:style w:type="paragraph" w:styleId="TOCHeading">
    <w:name w:val="TOC Heading"/>
    <w:basedOn w:val="Normal"/>
    <w:next w:val="Normal"/>
    <w:uiPriority w:val="39"/>
    <w:semiHidden/>
    <w:unhideWhenUsed/>
    <w:rsid w:val="00975089"/>
    <w:pPr>
      <w:spacing w:after="240" w:line="240" w:lineRule="auto"/>
      <w:contextualSpacing/>
      <w:jc w:val="center"/>
    </w:pPr>
    <w:rPr>
      <w:rFonts w:eastAsiaTheme="minorHAnsi" w:cstheme="minorBidi"/>
      <w:b/>
      <w:color w:val="auto"/>
      <w:sz w:val="24"/>
      <w:lang w:val="en-GB"/>
    </w:rPr>
  </w:style>
  <w:style w:type="paragraph" w:styleId="TOC1">
    <w:name w:val="toc 1"/>
    <w:basedOn w:val="Normal"/>
    <w:next w:val="Normal"/>
    <w:uiPriority w:val="39"/>
    <w:semiHidden/>
    <w:rsid w:val="00975089"/>
    <w:pPr>
      <w:tabs>
        <w:tab w:val="right" w:leader="dot" w:pos="9346"/>
      </w:tabs>
      <w:spacing w:after="240" w:line="240" w:lineRule="auto"/>
      <w:ind w:left="720" w:right="720" w:hanging="720"/>
    </w:pPr>
    <w:rPr>
      <w:rFonts w:eastAsiaTheme="minorHAnsi" w:cstheme="minorBidi"/>
      <w:noProof/>
      <w:color w:val="auto"/>
      <w:sz w:val="24"/>
      <w:lang w:val="en-GB"/>
    </w:rPr>
  </w:style>
  <w:style w:type="paragraph" w:styleId="TOC2">
    <w:name w:val="toc 2"/>
    <w:basedOn w:val="Normal"/>
    <w:next w:val="Normal"/>
    <w:uiPriority w:val="39"/>
    <w:semiHidden/>
    <w:rsid w:val="00975089"/>
    <w:pPr>
      <w:tabs>
        <w:tab w:val="right" w:leader="dot" w:pos="9346"/>
      </w:tabs>
      <w:spacing w:after="240" w:line="240" w:lineRule="auto"/>
      <w:ind w:left="1440" w:right="720" w:hanging="720"/>
    </w:pPr>
    <w:rPr>
      <w:rFonts w:eastAsiaTheme="minorHAnsi" w:cstheme="minorBidi"/>
      <w:noProof/>
      <w:color w:val="auto"/>
      <w:sz w:val="24"/>
      <w:lang w:val="en-GB"/>
    </w:rPr>
  </w:style>
  <w:style w:type="paragraph" w:styleId="TOC3">
    <w:name w:val="toc 3"/>
    <w:basedOn w:val="Normal"/>
    <w:next w:val="Normal"/>
    <w:uiPriority w:val="39"/>
    <w:semiHidden/>
    <w:rsid w:val="00975089"/>
    <w:pPr>
      <w:tabs>
        <w:tab w:val="right" w:leader="dot" w:pos="9346"/>
      </w:tabs>
      <w:spacing w:after="240" w:line="240" w:lineRule="auto"/>
      <w:ind w:left="2160" w:right="720" w:hanging="720"/>
    </w:pPr>
    <w:rPr>
      <w:rFonts w:eastAsiaTheme="minorHAnsi" w:cstheme="minorBidi"/>
      <w:noProof/>
      <w:color w:val="auto"/>
      <w:sz w:val="24"/>
      <w:lang w:val="en-GB"/>
    </w:rPr>
  </w:style>
  <w:style w:type="paragraph" w:styleId="TOC4">
    <w:name w:val="toc 4"/>
    <w:basedOn w:val="Normal"/>
    <w:next w:val="Normal"/>
    <w:uiPriority w:val="39"/>
    <w:semiHidden/>
    <w:rsid w:val="00975089"/>
    <w:pPr>
      <w:tabs>
        <w:tab w:val="right" w:leader="dot" w:pos="9346"/>
      </w:tabs>
      <w:spacing w:after="240" w:line="240" w:lineRule="auto"/>
      <w:ind w:left="2880" w:right="720" w:hanging="720"/>
    </w:pPr>
    <w:rPr>
      <w:rFonts w:eastAsiaTheme="minorHAnsi" w:cstheme="minorBidi"/>
      <w:noProof/>
      <w:color w:val="auto"/>
      <w:sz w:val="24"/>
      <w:lang w:val="en-GB"/>
    </w:rPr>
  </w:style>
  <w:style w:type="paragraph" w:styleId="TOC5">
    <w:name w:val="toc 5"/>
    <w:basedOn w:val="Normal"/>
    <w:next w:val="Normal"/>
    <w:uiPriority w:val="39"/>
    <w:semiHidden/>
    <w:rsid w:val="00975089"/>
    <w:pPr>
      <w:tabs>
        <w:tab w:val="right" w:leader="dot" w:pos="9346"/>
      </w:tabs>
      <w:spacing w:after="240" w:line="240" w:lineRule="auto"/>
      <w:ind w:left="3600" w:right="720" w:hanging="720"/>
    </w:pPr>
    <w:rPr>
      <w:rFonts w:eastAsiaTheme="minorHAnsi" w:cstheme="minorBidi"/>
      <w:noProof/>
      <w:color w:val="auto"/>
      <w:sz w:val="24"/>
      <w:lang w:val="en-GB"/>
    </w:rPr>
  </w:style>
  <w:style w:type="paragraph" w:styleId="TOC6">
    <w:name w:val="toc 6"/>
    <w:basedOn w:val="Normal"/>
    <w:next w:val="Normal"/>
    <w:uiPriority w:val="39"/>
    <w:semiHidden/>
    <w:rsid w:val="00975089"/>
    <w:pPr>
      <w:tabs>
        <w:tab w:val="right" w:leader="dot" w:pos="9346"/>
      </w:tabs>
      <w:spacing w:after="240" w:line="240" w:lineRule="auto"/>
      <w:ind w:left="4320" w:right="720" w:hanging="720"/>
    </w:pPr>
    <w:rPr>
      <w:rFonts w:eastAsiaTheme="minorHAnsi" w:cstheme="minorBidi"/>
      <w:noProof/>
      <w:color w:val="auto"/>
      <w:sz w:val="24"/>
      <w:lang w:val="en-GB"/>
    </w:rPr>
  </w:style>
  <w:style w:type="paragraph" w:styleId="TOC7">
    <w:name w:val="toc 7"/>
    <w:basedOn w:val="Normal"/>
    <w:next w:val="Normal"/>
    <w:uiPriority w:val="39"/>
    <w:semiHidden/>
    <w:rsid w:val="00975089"/>
    <w:pPr>
      <w:tabs>
        <w:tab w:val="right" w:leader="dot" w:pos="9346"/>
      </w:tabs>
      <w:spacing w:after="240" w:line="240" w:lineRule="auto"/>
      <w:ind w:left="5040" w:right="720" w:hanging="720"/>
    </w:pPr>
    <w:rPr>
      <w:rFonts w:eastAsiaTheme="minorHAnsi" w:cstheme="minorBidi"/>
      <w:noProof/>
      <w:color w:val="auto"/>
      <w:sz w:val="24"/>
      <w:lang w:val="en-GB"/>
    </w:rPr>
  </w:style>
  <w:style w:type="paragraph" w:styleId="TOC8">
    <w:name w:val="toc 8"/>
    <w:basedOn w:val="Normal"/>
    <w:next w:val="Normal"/>
    <w:uiPriority w:val="39"/>
    <w:semiHidden/>
    <w:rsid w:val="00975089"/>
    <w:pPr>
      <w:tabs>
        <w:tab w:val="right" w:leader="dot" w:pos="9346"/>
      </w:tabs>
      <w:spacing w:after="240" w:line="240" w:lineRule="auto"/>
      <w:ind w:left="5760" w:right="720" w:hanging="720"/>
    </w:pPr>
    <w:rPr>
      <w:rFonts w:eastAsiaTheme="minorHAnsi" w:cstheme="minorBidi"/>
      <w:noProof/>
      <w:color w:val="auto"/>
      <w:sz w:val="24"/>
      <w:lang w:val="en-GB"/>
    </w:rPr>
  </w:style>
  <w:style w:type="paragraph" w:styleId="TOC9">
    <w:name w:val="toc 9"/>
    <w:basedOn w:val="Normal"/>
    <w:next w:val="Normal"/>
    <w:uiPriority w:val="39"/>
    <w:semiHidden/>
    <w:rsid w:val="00975089"/>
    <w:pPr>
      <w:tabs>
        <w:tab w:val="right" w:leader="dot" w:pos="9346"/>
      </w:tabs>
      <w:spacing w:after="240" w:line="240" w:lineRule="auto"/>
      <w:ind w:left="6480" w:right="720" w:hanging="720"/>
    </w:pPr>
    <w:rPr>
      <w:rFonts w:eastAsiaTheme="minorHAnsi" w:cstheme="minorBidi"/>
      <w:noProof/>
      <w:color w:val="auto"/>
      <w:sz w:val="24"/>
      <w:lang w:val="en-GB"/>
    </w:rPr>
  </w:style>
  <w:style w:type="paragraph" w:customStyle="1" w:styleId="ImanageFooter">
    <w:name w:val="Imanage Footer"/>
    <w:basedOn w:val="Normal"/>
    <w:rsid w:val="00975089"/>
    <w:pPr>
      <w:spacing w:line="240" w:lineRule="auto"/>
    </w:pPr>
    <w:rPr>
      <w:rFonts w:ascii="Times New Roman" w:eastAsia="Times New Roman" w:hAnsi="Times New Roman" w:cs="Times New Roman"/>
      <w:color w:val="auto"/>
      <w:sz w:val="16"/>
    </w:rPr>
  </w:style>
  <w:style w:type="character" w:styleId="CommentReference">
    <w:name w:val="annotation reference"/>
    <w:basedOn w:val="DefaultParagraphFont"/>
    <w:uiPriority w:val="99"/>
    <w:semiHidden/>
    <w:unhideWhenUsed/>
    <w:rsid w:val="00975089"/>
    <w:rPr>
      <w:sz w:val="16"/>
      <w:szCs w:val="16"/>
    </w:rPr>
  </w:style>
  <w:style w:type="paragraph" w:styleId="CommentText">
    <w:name w:val="annotation text"/>
    <w:basedOn w:val="Normal"/>
    <w:link w:val="CommentTextChar"/>
    <w:uiPriority w:val="99"/>
    <w:semiHidden/>
    <w:unhideWhenUsed/>
    <w:rsid w:val="00975089"/>
    <w:pPr>
      <w:spacing w:line="240" w:lineRule="auto"/>
    </w:pPr>
    <w:rPr>
      <w:rFonts w:eastAsiaTheme="minorHAnsi" w:cstheme="minorBidi"/>
      <w:color w:val="auto"/>
      <w:szCs w:val="20"/>
      <w:lang w:val="en-GB"/>
    </w:rPr>
  </w:style>
  <w:style w:type="character" w:customStyle="1" w:styleId="CommentTextChar">
    <w:name w:val="Comment Text Char"/>
    <w:basedOn w:val="DefaultParagraphFont"/>
    <w:link w:val="CommentText"/>
    <w:uiPriority w:val="99"/>
    <w:semiHidden/>
    <w:rsid w:val="00975089"/>
    <w:rPr>
      <w:sz w:val="20"/>
      <w:szCs w:val="20"/>
      <w:lang w:val="en-GB"/>
    </w:rPr>
  </w:style>
  <w:style w:type="paragraph" w:styleId="CommentSubject">
    <w:name w:val="annotation subject"/>
    <w:basedOn w:val="CommentText"/>
    <w:next w:val="CommentText"/>
    <w:link w:val="CommentSubjectChar"/>
    <w:uiPriority w:val="99"/>
    <w:semiHidden/>
    <w:unhideWhenUsed/>
    <w:rsid w:val="00975089"/>
    <w:rPr>
      <w:b/>
      <w:bCs/>
    </w:rPr>
  </w:style>
  <w:style w:type="character" w:customStyle="1" w:styleId="CommentSubjectChar">
    <w:name w:val="Comment Subject Char"/>
    <w:basedOn w:val="CommentTextChar"/>
    <w:link w:val="CommentSubject"/>
    <w:uiPriority w:val="99"/>
    <w:semiHidden/>
    <w:rsid w:val="00975089"/>
    <w:rPr>
      <w:b/>
      <w:bCs/>
      <w:sz w:val="20"/>
      <w:szCs w:val="20"/>
      <w:lang w:val="en-GB"/>
    </w:rPr>
  </w:style>
  <w:style w:type="paragraph" w:styleId="BalloonText">
    <w:name w:val="Balloon Text"/>
    <w:basedOn w:val="Normal"/>
    <w:link w:val="BalloonTextChar"/>
    <w:uiPriority w:val="99"/>
    <w:semiHidden/>
    <w:unhideWhenUsed/>
    <w:rsid w:val="00975089"/>
    <w:pPr>
      <w:spacing w:line="240" w:lineRule="auto"/>
    </w:pPr>
    <w:rPr>
      <w:rFonts w:ascii="Segoe UI" w:eastAsiaTheme="minorHAnsi" w:hAnsi="Segoe UI" w:cs="Segoe UI"/>
      <w:color w:val="auto"/>
      <w:sz w:val="18"/>
      <w:szCs w:val="18"/>
      <w:lang w:val="en-GB"/>
    </w:rPr>
  </w:style>
  <w:style w:type="character" w:customStyle="1" w:styleId="BalloonTextChar">
    <w:name w:val="Balloon Text Char"/>
    <w:basedOn w:val="DefaultParagraphFont"/>
    <w:link w:val="BalloonText"/>
    <w:uiPriority w:val="99"/>
    <w:semiHidden/>
    <w:rsid w:val="00975089"/>
    <w:rPr>
      <w:rFonts w:ascii="Segoe UI" w:hAnsi="Segoe UI" w:cs="Segoe UI"/>
      <w:sz w:val="18"/>
      <w:szCs w:val="18"/>
      <w:lang w:val="en-GB"/>
    </w:rPr>
  </w:style>
  <w:style w:type="paragraph" w:styleId="Revision">
    <w:name w:val="Revision"/>
    <w:hidden/>
    <w:uiPriority w:val="99"/>
    <w:semiHidden/>
    <w:rsid w:val="0097508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loneye\AppData\Local\Microsoft\Windows\INetCache\IE\AD0COKQQ\BMS%20A4%20Digital%20Letterhead%2024Feb2020.dotx" TargetMode="External"/></Relationships>
</file>

<file path=word/theme/theme1.xml><?xml version="1.0" encoding="utf-8"?>
<a:theme xmlns:a="http://schemas.openxmlformats.org/drawingml/2006/main" name="Bristol Myers Squibb">
  <a:themeElements>
    <a:clrScheme name="Bristol Myers Squibb Colors">
      <a:dk1>
        <a:srgbClr val="595454"/>
      </a:dk1>
      <a:lt1>
        <a:srgbClr val="FFFFFF"/>
      </a:lt1>
      <a:dk2>
        <a:srgbClr val="595454"/>
      </a:dk2>
      <a:lt2>
        <a:srgbClr val="EEE7E7"/>
      </a:lt2>
      <a:accent1>
        <a:srgbClr val="595454"/>
      </a:accent1>
      <a:accent2>
        <a:srgbClr val="FFD186"/>
      </a:accent2>
      <a:accent3>
        <a:srgbClr val="52E7BC"/>
      </a:accent3>
      <a:accent4>
        <a:srgbClr val="A69F9F"/>
      </a:accent4>
      <a:accent5>
        <a:srgbClr val="33D6F1"/>
      </a:accent5>
      <a:accent6>
        <a:srgbClr val="FDA97D"/>
      </a:accent6>
      <a:hlink>
        <a:srgbClr val="595454"/>
      </a:hlink>
      <a:folHlink>
        <a:srgbClr val="595454"/>
      </a:folHlink>
    </a:clrScheme>
    <a:fontScheme name="Bristol Myers Squibb Fonts">
      <a:majorFont>
        <a:latin typeface="Trebuchet MS"/>
        <a:ea typeface=""/>
        <a:cs typeface=""/>
      </a:majorFont>
      <a:minorFont>
        <a:latin typeface="Trebuchet MS"/>
        <a:ea typeface=""/>
        <a:cs typeface=""/>
      </a:minorFont>
    </a:fontScheme>
    <a:fmtScheme name="Bristol Myers Squibb Effects">
      <a:fillStyleLst>
        <a:solidFill>
          <a:schemeClr val="phClr"/>
        </a:solidFill>
        <a:solidFill>
          <a:schemeClr val="phClr"/>
        </a:solidFill>
        <a:solidFill>
          <a:schemeClr val="phClr"/>
        </a:solidFill>
      </a:fillStyleLst>
      <a:lnStyleLst>
        <a:ln w="12700" cap="sq" cmpd="sng" algn="ctr">
          <a:solidFill>
            <a:schemeClr val="phClr"/>
          </a:solidFill>
          <a:prstDash val="solid"/>
        </a:ln>
        <a:ln w="12700" cap="sq" cmpd="sng" algn="ctr">
          <a:solidFill>
            <a:schemeClr val="phClr"/>
          </a:solidFill>
          <a:prstDash val="solid"/>
        </a:ln>
        <a:ln w="12700" cap="sq" cmpd="sng" algn="ctr">
          <a:solidFill>
            <a:schemeClr val="phClr"/>
          </a:solidFill>
          <a:prstDash val="solid"/>
        </a:ln>
      </a:lnStyleLst>
      <a:effectStyleLst>
        <a:effectStyle>
          <a:effectLst/>
        </a:effectStyle>
        <a:effectStyle>
          <a:effectLst/>
        </a:effectStyle>
        <a:effectStyle>
          <a:effectLst>
            <a:outerShdw blurRad="127000" dist="63500" dir="2700000" algn="br" rotWithShape="0">
              <a:srgbClr val="000000">
                <a:alpha val="25000"/>
              </a:srgbClr>
            </a:outerShdw>
          </a:effectLst>
        </a:effectStyle>
      </a:effectStyleLst>
      <a:bgFillStyleLst>
        <a:solidFill>
          <a:schemeClr val="phClr"/>
        </a:solidFill>
        <a:solidFill>
          <a:schemeClr val="phClr"/>
        </a:solidFill>
        <a:solidFill>
          <a:schemeClr val="phClr"/>
        </a:solidFill>
      </a:bgFillStyleLst>
    </a:fmtScheme>
  </a:themeElements>
  <a:objectDefaults>
    <a:spDef>
      <a:spPr>
        <a:ln>
          <a:noFill/>
        </a:ln>
      </a:spPr>
      <a:bodyPr/>
      <a:lstStyle>
        <a:defPPr algn="ctr">
          <a:lnSpc>
            <a:spcPct val="100000"/>
          </a:lnSpc>
          <a:defRPr sz="2000"/>
        </a:defPPr>
      </a:lstStyle>
      <a:style>
        <a:lnRef idx="0">
          <a:schemeClr val="accent1"/>
        </a:lnRef>
        <a:fillRef idx="1">
          <a:schemeClr val="accent1"/>
        </a:fillRef>
        <a:effectRef idx="0">
          <a:srgbClr val="000000"/>
        </a:effectRef>
        <a:fontRef idx="minor">
          <a:schemeClr val="lt1"/>
        </a:fontRef>
      </a:style>
    </a:spDef>
    <a:lnDef>
      <a:spPr>
        <a:ln w="12700" cap="sq"/>
      </a:spPr>
      <a:bodyPr/>
      <a:lstStyle/>
      <a:style>
        <a:lnRef idx="1">
          <a:schemeClr val="accent1"/>
        </a:lnRef>
        <a:fillRef idx="0">
          <a:schemeClr val="accent1"/>
        </a:fillRef>
        <a:effectRef idx="0">
          <a:srgbClr val="000000"/>
        </a:effectRef>
        <a:fontRef idx="minor">
          <a:schemeClr val="lt1"/>
        </a:fontRef>
      </a:style>
    </a:lnDef>
  </a:objectDefaults>
  <a:extraClrSchemeLst/>
  <a:custClrLst>
    <a:custClr name="BMS Purple">
      <a:srgbClr val="BE2BBB"/>
    </a:custClr>
    <a:custClr name="Dark Gray">
      <a:srgbClr val="595454"/>
    </a:custClr>
    <a:custClr name="Gray">
      <a:srgbClr val="A69F9F"/>
    </a:custClr>
    <a:custClr name="Light Gray">
      <a:srgbClr val="EEE7E7"/>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Amber">
      <a:srgbClr val="FFD186"/>
    </a:custClr>
    <a:custClr name="Peach">
      <a:srgbClr val="FDA97D"/>
    </a:custClr>
    <a:custClr name="Olive">
      <a:srgbClr val="CB987B"/>
    </a:custClr>
    <a:custClr name="Almond">
      <a:srgbClr val="AE7A65"/>
    </a:custClr>
    <a:custClr name="Sienna">
      <a:srgbClr val="772A28"/>
    </a:custClr>
    <a:custClr name="Chocolate">
      <a:srgbClr val="432319"/>
    </a:custClr>
    <a:custClr name="Mint">
      <a:srgbClr val="52E7BC"/>
    </a:custClr>
    <a:custClr name="Aqua">
      <a:srgbClr val="33D6F1"/>
    </a:custClr>
    <a:custClr name="White">
      <a:srgbClr val="FFFFFF"/>
    </a:custClr>
    <a:custClr name="Whit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AF4FBD0EF6344282D2A6B5A41CE740" ma:contentTypeVersion="13" ma:contentTypeDescription="Create a new document." ma:contentTypeScope="" ma:versionID="570c04e3d4694e228f5a5b746a10a885">
  <xsd:schema xmlns:xsd="http://www.w3.org/2001/XMLSchema" xmlns:xs="http://www.w3.org/2001/XMLSchema" xmlns:p="http://schemas.microsoft.com/office/2006/metadata/properties" xmlns:ns3="42a8c8f4-2b3f-487c-a2c0-52867899e17f" xmlns:ns4="f277241c-0a06-40ed-80e7-db15976b983c" targetNamespace="http://schemas.microsoft.com/office/2006/metadata/properties" ma:root="true" ma:fieldsID="a627c18d81b397b265cae08ad59937d6" ns3:_="" ns4:_="">
    <xsd:import namespace="42a8c8f4-2b3f-487c-a2c0-52867899e17f"/>
    <xsd:import namespace="f277241c-0a06-40ed-80e7-db15976b983c"/>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c8f4-2b3f-487c-a2c0-52867899e17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77241c-0a06-40ed-80e7-db15976b983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518C26-3300-453A-B087-2D0F09697177}">
  <ds:schemaRefs>
    <ds:schemaRef ds:uri="http://schemas.microsoft.com/office/infopath/2007/PartnerControls"/>
    <ds:schemaRef ds:uri="42a8c8f4-2b3f-487c-a2c0-52867899e17f"/>
    <ds:schemaRef ds:uri="http://purl.org/dc/elements/1.1/"/>
    <ds:schemaRef ds:uri="http://schemas.microsoft.com/office/2006/metadata/properties"/>
    <ds:schemaRef ds:uri="http://purl.org/dc/terms/"/>
    <ds:schemaRef ds:uri="http://schemas.openxmlformats.org/package/2006/metadata/core-properties"/>
    <ds:schemaRef ds:uri="f277241c-0a06-40ed-80e7-db15976b983c"/>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FCD1A3AB-D254-4FA6-B349-A1A08DC1BF36}">
  <ds:schemaRefs>
    <ds:schemaRef ds:uri="http://schemas.microsoft.com/sharepoint/v3/contenttype/forms"/>
  </ds:schemaRefs>
</ds:datastoreItem>
</file>

<file path=customXml/itemProps3.xml><?xml version="1.0" encoding="utf-8"?>
<ds:datastoreItem xmlns:ds="http://schemas.openxmlformats.org/officeDocument/2006/customXml" ds:itemID="{3B63EE73-AA13-4C3D-82CB-4605F750B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c8f4-2b3f-487c-a2c0-52867899e17f"/>
    <ds:schemaRef ds:uri="f277241c-0a06-40ed-80e7-db15976b9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BMS A4 Digital Letterhead 24Feb2020</Template>
  <TotalTime>14</TotalTime>
  <Pages>16</Pages>
  <Words>6287</Words>
  <Characters>35842</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Bristol Myers Squibb</vt:lpstr>
    </vt:vector>
  </TitlesOfParts>
  <Manager/>
  <Company>Bristol Myers Squibb</Company>
  <LinksUpToDate>false</LinksUpToDate>
  <CharactersWithSpaces>42045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Bristol Myers Squibb</dc:title>
  <dc:subject/>
  <dc:creator>Moloney, Elaine</dc:creator>
  <cp:keywords/>
  <dc:description/>
  <cp:lastModifiedBy>Maria Pitan</cp:lastModifiedBy>
  <cp:revision>3</cp:revision>
  <cp:lastPrinted>2020-02-18T18:27:00Z</cp:lastPrinted>
  <dcterms:created xsi:type="dcterms:W3CDTF">2020-11-16T09:15:00Z</dcterms:created>
  <dcterms:modified xsi:type="dcterms:W3CDTF">2020-11-18T12:16:00Z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0x01010057AF4FBD0EF6344282D2A6B5A41CE740</vt:lpwstr>
  </property>
</Properties>
</file>