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FE46B" w14:textId="77777777" w:rsidR="00956842" w:rsidRDefault="00956842" w:rsidP="00956842">
      <w:proofErr w:type="spellStart"/>
      <w:r>
        <w:t>Mr</w:t>
      </w:r>
      <w:proofErr w:type="spellEnd"/>
      <w:r>
        <w:t xml:space="preserve"> Tim Irish</w:t>
      </w:r>
    </w:p>
    <w:p w14:paraId="6FCADFFE" w14:textId="77777777" w:rsidR="00956842" w:rsidRDefault="00956842" w:rsidP="00956842">
      <w:r>
        <w:t>Vice Chair</w:t>
      </w:r>
    </w:p>
    <w:p w14:paraId="55000EAE" w14:textId="77777777" w:rsidR="00956842" w:rsidRDefault="00956842" w:rsidP="00956842">
      <w:r>
        <w:t>National Institute for Health and Care Excellence</w:t>
      </w:r>
    </w:p>
    <w:p w14:paraId="7E400957" w14:textId="77777777" w:rsidR="00956842" w:rsidRDefault="00956842" w:rsidP="00956842">
      <w:r>
        <w:t>10 Spring Gardens</w:t>
      </w:r>
    </w:p>
    <w:p w14:paraId="631BF5D3" w14:textId="3D10A934" w:rsidR="00335108" w:rsidRDefault="00956842" w:rsidP="00956842">
      <w:r>
        <w:t>London, SW1V 2BU</w:t>
      </w:r>
    </w:p>
    <w:p w14:paraId="631BF5D4" w14:textId="77777777" w:rsidR="0069689B" w:rsidRDefault="0069689B" w:rsidP="00737658"/>
    <w:p w14:paraId="631BF5D5" w14:textId="77777777" w:rsidR="00335108" w:rsidRDefault="00335108" w:rsidP="00737658"/>
    <w:p w14:paraId="631BF5D6" w14:textId="77777777" w:rsidR="00601866" w:rsidRDefault="00601866" w:rsidP="00737658"/>
    <w:p w14:paraId="631BF5D7" w14:textId="77777777" w:rsidR="00335108" w:rsidRDefault="00335108" w:rsidP="00737658"/>
    <w:p w14:paraId="631BF5D8" w14:textId="44C4EEE9" w:rsidR="003D77DC" w:rsidRDefault="00956842" w:rsidP="004B7CE3">
      <w:pPr>
        <w:framePr w:w="2467" w:h="2467" w:wrap="notBeside" w:vAnchor="text" w:hAnchor="page" w:x="681" w:y="1"/>
      </w:pPr>
      <w:r>
        <w:t>22 October 2020</w:t>
      </w:r>
    </w:p>
    <w:p w14:paraId="631BF5D9" w14:textId="77777777" w:rsidR="003D77DC" w:rsidRDefault="003D77DC" w:rsidP="004B7CE3">
      <w:pPr>
        <w:framePr w:w="2467" w:h="2467" w:wrap="notBeside" w:vAnchor="text" w:hAnchor="page" w:x="681" w:y="1"/>
      </w:pPr>
    </w:p>
    <w:p w14:paraId="631BF5DA" w14:textId="6B1B8F8C" w:rsidR="003D77DC" w:rsidRPr="003E27D3" w:rsidRDefault="00956842" w:rsidP="004B7CE3">
      <w:pPr>
        <w:framePr w:w="2467" w:h="2467" w:wrap="notBeside" w:vAnchor="text" w:hAnchor="page" w:x="681" w:y="1"/>
      </w:pPr>
      <w:r w:rsidRPr="00956842">
        <w:t>Re: Final Appraisal Determination - Nivolumab for previously treated locally advanced or metastatic non-squamous non-small-cell (NSQ NSCLC) lung cancer [ID1572] (CDF review TA484)</w:t>
      </w:r>
    </w:p>
    <w:p w14:paraId="631BF5DB" w14:textId="07992222" w:rsidR="00737658" w:rsidRPr="003E27D3" w:rsidRDefault="00737658" w:rsidP="00737658">
      <w:r>
        <w:t xml:space="preserve">Dear </w:t>
      </w:r>
      <w:proofErr w:type="spellStart"/>
      <w:proofErr w:type="gramStart"/>
      <w:r w:rsidR="00956842">
        <w:t>Mr</w:t>
      </w:r>
      <w:proofErr w:type="spellEnd"/>
      <w:proofErr w:type="gramEnd"/>
      <w:r w:rsidR="00956842">
        <w:t xml:space="preserve"> Irish</w:t>
      </w:r>
      <w:r>
        <w:t>,</w:t>
      </w:r>
    </w:p>
    <w:p w14:paraId="631BF5DC" w14:textId="77777777" w:rsidR="00117E9E" w:rsidRDefault="00117E9E" w:rsidP="007F4431"/>
    <w:p w14:paraId="631BF5DD" w14:textId="77777777" w:rsidR="008A2311" w:rsidRDefault="008A2311" w:rsidP="007F4431"/>
    <w:p w14:paraId="631BF5DF" w14:textId="35E18363" w:rsidR="00783A1F" w:rsidRDefault="00956842" w:rsidP="00976217">
      <w:r w:rsidRPr="00956842">
        <w:t xml:space="preserve">Thank you for your Initial Scrutiny Letter, dated 8 October 2020.  We are grateful for your review of our Appeal Letter and for your initial view that </w:t>
      </w:r>
      <w:proofErr w:type="gramStart"/>
      <w:r w:rsidRPr="00956842">
        <w:t>all of</w:t>
      </w:r>
      <w:proofErr w:type="gramEnd"/>
      <w:r w:rsidRPr="00956842">
        <w:t xml:space="preserve"> the Appeal Grounds are admissible.</w:t>
      </w:r>
    </w:p>
    <w:p w14:paraId="277A2DEE" w14:textId="05CDB060" w:rsidR="00956842" w:rsidRDefault="00956842" w:rsidP="00976217"/>
    <w:p w14:paraId="3EF404C7" w14:textId="2A8553F8" w:rsidR="00956842" w:rsidRPr="00956842" w:rsidRDefault="00956842" w:rsidP="00976217">
      <w:pPr>
        <w:rPr>
          <w:b/>
        </w:rPr>
      </w:pPr>
      <w:r w:rsidRPr="00956842">
        <w:rPr>
          <w:b/>
        </w:rPr>
        <w:t>Submission of Data</w:t>
      </w:r>
    </w:p>
    <w:p w14:paraId="02DF03CC" w14:textId="5C1F5D3C" w:rsidR="00956842" w:rsidRDefault="00956842" w:rsidP="00976217"/>
    <w:p w14:paraId="2B8F9663" w14:textId="77777777" w:rsidR="00956842" w:rsidRDefault="00956842" w:rsidP="00956842">
      <w:r>
        <w:t xml:space="preserve">Your letter asks us to clarify that the company did submit “all the data from </w:t>
      </w:r>
      <w:proofErr w:type="spellStart"/>
      <w:r>
        <w:t>CheckMate</w:t>
      </w:r>
      <w:proofErr w:type="spellEnd"/>
      <w:r>
        <w:t xml:space="preserve"> 017 (SQ) &amp; 057 (NSQ) re PD-L1 positive patients, PD-L1 &lt;1% patients, and unquantifiable PD-L1 patients, and if so when.”</w:t>
      </w:r>
    </w:p>
    <w:p w14:paraId="3E8915AE" w14:textId="77777777" w:rsidR="00956842" w:rsidRDefault="00956842" w:rsidP="00956842"/>
    <w:p w14:paraId="2C118A28" w14:textId="77777777" w:rsidR="00956842" w:rsidRDefault="00956842" w:rsidP="00956842">
      <w:r>
        <w:t xml:space="preserve">BMS submitted evidence from </w:t>
      </w:r>
      <w:proofErr w:type="spellStart"/>
      <w:r>
        <w:t>CheckMate</w:t>
      </w:r>
      <w:proofErr w:type="spellEnd"/>
      <w:r>
        <w:t xml:space="preserve"> 017 in squamous (SQ) NSCLC patients for another appraisal (TA483).  Those submissions covered all PD-L1 patient types.  In that appraisal, NICE accepted and reviewed the evidence submitted and recommended nivolumab for the whole SQ patient population.  We are happy to provide more detail on our submissions in </w:t>
      </w:r>
      <w:proofErr w:type="gramStart"/>
      <w:r>
        <w:t>TA483, if</w:t>
      </w:r>
      <w:proofErr w:type="gramEnd"/>
      <w:r>
        <w:t xml:space="preserve"> that would help.  However, their relevance to this appeal is not immediately clear to us, as TA484/ID1572 concerns non-squamous (NSQ) NSCLC patients only.  </w:t>
      </w:r>
    </w:p>
    <w:p w14:paraId="37EDE11F" w14:textId="77777777" w:rsidR="00956842" w:rsidRDefault="00956842" w:rsidP="00956842"/>
    <w:p w14:paraId="3BE22BC4" w14:textId="77777777" w:rsidR="00956842" w:rsidRDefault="00956842" w:rsidP="00956842">
      <w:r>
        <w:t xml:space="preserve">In ID1572, BMS collected clinical data from </w:t>
      </w:r>
      <w:proofErr w:type="spellStart"/>
      <w:r>
        <w:t>CheckMate</w:t>
      </w:r>
      <w:proofErr w:type="spellEnd"/>
      <w:r>
        <w:t xml:space="preserve"> 057 for the whole NSQ NSCLC treatment population (i.e., for PD-L1 positive patients, PD-L1 &lt;1% patients, and unquantifiable PD-L1 patients).  BMS submitted these data to NICE at the beginning of the CDF review.  We continued to re-submit these data throughout the review process (despite NICE maintaining its position that it would not accept clinical data concerning PD-L1 &lt;1% and unquantifiable PD-L1 patients).  As the Appeal Letter mentions, the ERG — unlike the Appraisal Committee — examined the data in full, such that the Appraisal Committee had every opportunity to appraise the product for the whole indicated NSQ NSCLC population.</w:t>
      </w:r>
    </w:p>
    <w:p w14:paraId="6EB5DF4F" w14:textId="77777777" w:rsidR="00956842" w:rsidRDefault="00956842" w:rsidP="00956842"/>
    <w:p w14:paraId="5244C31F" w14:textId="2E61CA71" w:rsidR="00956842" w:rsidRDefault="000E1127" w:rsidP="00956842">
      <w:r>
        <w:fldChar w:fldCharType="begin"/>
      </w:r>
      <w:r>
        <w:instrText xml:space="preserve"> REF _Ref54247235 \h </w:instrText>
      </w:r>
      <w:r>
        <w:fldChar w:fldCharType="separate"/>
      </w:r>
      <w:r>
        <w:t xml:space="preserve">Table </w:t>
      </w:r>
      <w:r>
        <w:rPr>
          <w:noProof/>
        </w:rPr>
        <w:t>1</w:t>
      </w:r>
      <w:r>
        <w:fldChar w:fldCharType="end"/>
      </w:r>
      <w:r w:rsidR="00956842">
        <w:t xml:space="preserve">, at the end of this letter, sets out the evidence we submitted and the dates of those submissions. We trust that these confirmations are helpful and that the Initial Scrutiny Letter can stand as the Final Scrutiny Letter.  We are happy to provide further </w:t>
      </w:r>
      <w:proofErr w:type="gramStart"/>
      <w:r w:rsidR="00956842">
        <w:t>information, if</w:t>
      </w:r>
      <w:proofErr w:type="gramEnd"/>
      <w:r w:rsidR="00956842">
        <w:t xml:space="preserve"> this would help you and/or the Appeal Panel.</w:t>
      </w:r>
    </w:p>
    <w:p w14:paraId="32FE6BFB" w14:textId="77777777" w:rsidR="00956842" w:rsidRDefault="00956842" w:rsidP="00956842"/>
    <w:p w14:paraId="65814F5A" w14:textId="77777777" w:rsidR="00956842" w:rsidRPr="00956842" w:rsidRDefault="00956842" w:rsidP="00956842">
      <w:pPr>
        <w:keepNext/>
        <w:rPr>
          <w:b/>
        </w:rPr>
      </w:pPr>
      <w:r w:rsidRPr="00956842">
        <w:rPr>
          <w:b/>
        </w:rPr>
        <w:lastRenderedPageBreak/>
        <w:t>Structure and Approach of Appeal Hearing</w:t>
      </w:r>
    </w:p>
    <w:p w14:paraId="2CCE215D" w14:textId="77777777" w:rsidR="00956842" w:rsidRDefault="00956842" w:rsidP="00956842"/>
    <w:p w14:paraId="7AE2B550" w14:textId="77777777" w:rsidR="00956842" w:rsidRDefault="00956842" w:rsidP="00956842">
      <w:r>
        <w:t xml:space="preserve">We note and agree with your observation that there is an overarching issue in this appeal, namely NICE’s refusal to consider the totality of the evidence that BMS submitted and was therefore available to NICE.  We agree that this gives rise to a question of principle, namely whether NICE should consider all available evidence in the context of a CDF review; or whether a CDF recommendation requires NICE to take a more limited approach (and thereby effectively limit a company’s right and duty to submit all relevant evidence to NICE).  We welcome the opportunity to discuss that question at the Appeal </w:t>
      </w:r>
      <w:proofErr w:type="gramStart"/>
      <w:r>
        <w:t>Hearing, and</w:t>
      </w:r>
      <w:proofErr w:type="gramEnd"/>
      <w:r>
        <w:t xml:space="preserve"> agree that it would be beneficial to do so in a structured way.  We will obviously defer to the Chairperson’s views of the best approach to achieve this.  One option might be to allocate a period of time at the beginning of the Hearing for the parties to make submissions on this question, and for the Panel to explore those submissions, before addressing each Appeal Ground in order.</w:t>
      </w:r>
    </w:p>
    <w:p w14:paraId="6652B7AB" w14:textId="77777777" w:rsidR="00956842" w:rsidRDefault="00956842" w:rsidP="00956842"/>
    <w:p w14:paraId="0E5D13D5" w14:textId="77777777" w:rsidR="00956842" w:rsidRDefault="00956842" w:rsidP="00956842">
      <w:r>
        <w:t xml:space="preserve">For the avoidance of doubt, however --and we do note that your letter does not say this-- we would disagree with any suggestion that the Appeal Grounds can ultimately be reduced to that single question of principle or that the Appeal Grounds are adequately addressed by focusing on that question alone.  This is not the </w:t>
      </w:r>
      <w:proofErr w:type="gramStart"/>
      <w:r>
        <w:t>sum total</w:t>
      </w:r>
      <w:proofErr w:type="gramEnd"/>
      <w:r>
        <w:t xml:space="preserve"> of this appeal.  In fact, we consider that the opposite is true.  To address the question of principle fully will require the examination of a variety of legal, </w:t>
      </w:r>
      <w:proofErr w:type="gramStart"/>
      <w:r>
        <w:t>ethical</w:t>
      </w:r>
      <w:proofErr w:type="gramEnd"/>
      <w:r>
        <w:t xml:space="preserve"> and procedural issues.  That includes, for example:</w:t>
      </w:r>
    </w:p>
    <w:p w14:paraId="23CE9DC2" w14:textId="77777777" w:rsidR="00956842" w:rsidRDefault="00956842" w:rsidP="00956842"/>
    <w:p w14:paraId="4886EAFA" w14:textId="15454A71" w:rsidR="00956842" w:rsidRDefault="00956842" w:rsidP="00975168">
      <w:pPr>
        <w:pStyle w:val="ListParagraph"/>
        <w:numPr>
          <w:ilvl w:val="0"/>
          <w:numId w:val="6"/>
        </w:numPr>
        <w:ind w:left="737"/>
      </w:pPr>
      <w:r>
        <w:t xml:space="preserve">the ultimate purpose of the CDF and how that purpose affects the overall review of a technology, both as it enters the CDF </w:t>
      </w:r>
      <w:proofErr w:type="gramStart"/>
      <w:r>
        <w:t>and also</w:t>
      </w:r>
      <w:proofErr w:type="gramEnd"/>
      <w:r>
        <w:t xml:space="preserve"> on CDF exit. In our submission, it is clear that the CDF was established to provide an opportunity for patients to access new, innovative cancer therapies while further evidence is gathered to: (</w:t>
      </w:r>
      <w:proofErr w:type="spellStart"/>
      <w:r>
        <w:t>i</w:t>
      </w:r>
      <w:proofErr w:type="spellEnd"/>
      <w:r>
        <w:t xml:space="preserve">) enable a fuller assessment of a technology; and (ii) resolve any outstanding uncertainties.  The CDF was not designed to have a limiting or narrowing effect on that assessment, or change the fundamental basis for, or nature of the assessment.  </w:t>
      </w:r>
    </w:p>
    <w:p w14:paraId="7AF147F1" w14:textId="77777777" w:rsidR="00956842" w:rsidRDefault="00956842" w:rsidP="00975168">
      <w:pPr>
        <w:ind w:left="737"/>
      </w:pPr>
    </w:p>
    <w:p w14:paraId="1561E190" w14:textId="17BFBF4D" w:rsidR="00956842" w:rsidRDefault="00956842" w:rsidP="00975168">
      <w:pPr>
        <w:pStyle w:val="ListParagraph"/>
        <w:numPr>
          <w:ilvl w:val="0"/>
          <w:numId w:val="6"/>
        </w:numPr>
        <w:ind w:left="737"/>
      </w:pPr>
      <w:r>
        <w:t xml:space="preserve">whether it is procedurally sound and fair for a CDF recommendation to foreclose the possibility of reviewing further data and thereby pre-judge the outcome of </w:t>
      </w:r>
      <w:proofErr w:type="gramStart"/>
      <w:r>
        <w:t>guidance;</w:t>
      </w:r>
      <w:proofErr w:type="gramEnd"/>
    </w:p>
    <w:p w14:paraId="67171246" w14:textId="77777777" w:rsidR="00956842" w:rsidRDefault="00956842" w:rsidP="00975168">
      <w:pPr>
        <w:ind w:left="737"/>
      </w:pPr>
    </w:p>
    <w:p w14:paraId="7B24F3C6" w14:textId="39A8D590" w:rsidR="00956842" w:rsidRDefault="00956842" w:rsidP="00975168">
      <w:pPr>
        <w:pStyle w:val="ListParagraph"/>
        <w:numPr>
          <w:ilvl w:val="0"/>
          <w:numId w:val="6"/>
        </w:numPr>
        <w:ind w:left="737"/>
      </w:pPr>
      <w:r>
        <w:t>whether, given NICE’s fundamental statutory and public law duty to consider “all available evidence” in an appraisal, there can ever be legitimate reasons not to fulfil that duty, and (if so) whether such reasons existed in this case; and</w:t>
      </w:r>
    </w:p>
    <w:p w14:paraId="53A8E5CB" w14:textId="77777777" w:rsidR="00956842" w:rsidRDefault="00956842" w:rsidP="00975168">
      <w:pPr>
        <w:ind w:left="737"/>
      </w:pPr>
    </w:p>
    <w:p w14:paraId="1184881F" w14:textId="51B893FA" w:rsidR="00956842" w:rsidRDefault="00956842" w:rsidP="00975168">
      <w:pPr>
        <w:pStyle w:val="ListParagraph"/>
        <w:numPr>
          <w:ilvl w:val="0"/>
          <w:numId w:val="6"/>
        </w:numPr>
        <w:ind w:left="737"/>
      </w:pPr>
      <w:r>
        <w:t>whether NICE’s decision not to consider “all available evidence” is fair and equitable to patients and whether, in making that decision, NICE respected their human rights and/or discriminated against a subgroup of patients whose data NICE would not review.</w:t>
      </w:r>
    </w:p>
    <w:p w14:paraId="2466CBE7" w14:textId="77777777" w:rsidR="00956842" w:rsidRDefault="00956842" w:rsidP="00956842"/>
    <w:p w14:paraId="16A93111" w14:textId="77777777" w:rsidR="00956842" w:rsidRDefault="00956842" w:rsidP="00956842">
      <w:r>
        <w:t xml:space="preserve">With respect, these factors (along with others) are not simply different ways of expressing the same question.  They are key questions in their own </w:t>
      </w:r>
      <w:proofErr w:type="gramStart"/>
      <w:r>
        <w:t>right, and</w:t>
      </w:r>
      <w:proofErr w:type="gramEnd"/>
      <w:r>
        <w:t xml:space="preserve"> are key parts of this appeal. </w:t>
      </w:r>
    </w:p>
    <w:p w14:paraId="73CC0BF9" w14:textId="77777777" w:rsidR="00956842" w:rsidRDefault="00956842" w:rsidP="00956842"/>
    <w:p w14:paraId="75F45580" w14:textId="77777777" w:rsidR="00956842" w:rsidRDefault="00956842" w:rsidP="00956842">
      <w:r>
        <w:t>These factors are given a voice through the individual Appeal Grounds.  Although (as in many appeals) the Appeal Grounds are connected, each is distinct and stands on its own terms.  We respectfully argue against amalgamating the Appeal Grounds, reducing them down to a single question and/or subordinating them to a broader point.  Each Appeal Ground warrants detailed examination and discussion on a standalone basis, and as particularized in the Appeal Letter.  In our view, to do otherwise risks overlooking key issues.  This would ultimately hinder, rather than help, answering the fundamental question of principle fully and properly.</w:t>
      </w:r>
    </w:p>
    <w:p w14:paraId="39810E0E" w14:textId="77777777" w:rsidR="00956842" w:rsidRDefault="00956842" w:rsidP="00956842"/>
    <w:p w14:paraId="270500FC" w14:textId="17D0BE5F" w:rsidR="00956842" w:rsidRDefault="00956842" w:rsidP="00956842">
      <w:r>
        <w:t>Quite apart from the above, some of the Appeal Grounds stand apart from the fundamental question of principle.  For example, Ground 1(a).2 (NICE has unjustifiably departed from the 2015 and 2019 Scopes and the Methods Guide) and Ground 2.3 (the recommendation makes an unreasonable and arbitrary distinction based on a patient’s PD-L1 expression</w:t>
      </w:r>
      <w:r w:rsidR="001E10AC">
        <w:t xml:space="preserve"> states, which is an </w:t>
      </w:r>
      <w:r>
        <w:t xml:space="preserve">imperfect biomarker in this population) are unaffected by how one might answer that question of principle.  Publishing a Scope in 2019 that contemplates examining data for the whole patient population in the CDF review, but adopting a contradictory position internally, is self-evidently the wrong way to conduct an appraisal (even if there were principled reasons to support that internal position).  </w:t>
      </w:r>
      <w:proofErr w:type="gramStart"/>
      <w:r>
        <w:t>This further supports</w:t>
      </w:r>
      <w:proofErr w:type="gramEnd"/>
      <w:r>
        <w:t xml:space="preserve"> giving the Appeal Grounds proper consideration on a standalone basis.</w:t>
      </w:r>
    </w:p>
    <w:p w14:paraId="06038B7B" w14:textId="77777777" w:rsidR="00956842" w:rsidRDefault="00956842" w:rsidP="00956842"/>
    <w:p w14:paraId="510AAF8B" w14:textId="579E43A4" w:rsidR="00956842" w:rsidRDefault="00956842" w:rsidP="00956842">
      <w:r>
        <w:t>To summarize, we appreciate and agree that there is an overarching question of principle to address at the Appea</w:t>
      </w:r>
      <w:r w:rsidR="00281E8B">
        <w:t>l Hearing in a structured way.</w:t>
      </w:r>
      <w:r>
        <w:t xml:space="preserve">  However, we believe the Appeal Hearing must take a systematic approach that gives appropriate time and thought to each Appeal Ground on its own terms.  We very much hope that you and the Chairperson understand and agree with our position and </w:t>
      </w:r>
      <w:proofErr w:type="gramStart"/>
      <w:r>
        <w:t>are able to</w:t>
      </w:r>
      <w:proofErr w:type="gramEnd"/>
      <w:r>
        <w:t xml:space="preserve"> take steps to ensure that important points are not lost at the Appeal Hearing.</w:t>
      </w:r>
    </w:p>
    <w:p w14:paraId="21FD5ABD" w14:textId="77777777" w:rsidR="00956842" w:rsidRDefault="00956842" w:rsidP="00956842"/>
    <w:p w14:paraId="0F8EC613" w14:textId="77777777" w:rsidR="00956842" w:rsidRDefault="00956842" w:rsidP="00956842">
      <w:r>
        <w:t>Yours sincerely</w:t>
      </w:r>
    </w:p>
    <w:p w14:paraId="73519054" w14:textId="2CFFFF64" w:rsidR="00956842" w:rsidRDefault="00956842" w:rsidP="00956842"/>
    <w:p w14:paraId="6DB20B2D" w14:textId="5926C4C9" w:rsidR="00956842" w:rsidRDefault="00956842" w:rsidP="00956842"/>
    <w:p w14:paraId="2A9853FA" w14:textId="05B788E2" w:rsidR="00956842" w:rsidRDefault="00956842" w:rsidP="00956842"/>
    <w:p w14:paraId="6D0B0929" w14:textId="77777777" w:rsidR="00956842" w:rsidRDefault="00956842" w:rsidP="00956842"/>
    <w:p w14:paraId="1B1AE705" w14:textId="0335AA85" w:rsidR="00956842" w:rsidRDefault="00956842" w:rsidP="00956842"/>
    <w:p w14:paraId="3CDB6BA9" w14:textId="5578EFF3" w:rsidR="009E22E6" w:rsidRDefault="009E22E6" w:rsidP="00956842"/>
    <w:p w14:paraId="1B9A0E6D" w14:textId="77777777" w:rsidR="009E22E6" w:rsidRDefault="009E22E6" w:rsidP="00956842"/>
    <w:p w14:paraId="314806CA" w14:textId="53620E2D" w:rsidR="00956842" w:rsidRPr="006A2F31" w:rsidRDefault="006A2F31" w:rsidP="00956842">
      <w:pPr>
        <w:jc w:val="both"/>
        <w:rPr>
          <w:rFonts w:cs="Times New Roman"/>
          <w:color w:val="auto"/>
          <w:szCs w:val="20"/>
          <w:highlight w:val="black"/>
        </w:rPr>
      </w:pPr>
      <w:r w:rsidRPr="006A2F31">
        <w:rPr>
          <w:rFonts w:cs="Times New Roman"/>
          <w:color w:val="auto"/>
          <w:szCs w:val="20"/>
          <w:highlight w:val="black"/>
        </w:rPr>
        <w:t>XXXXXXXXXX</w:t>
      </w:r>
    </w:p>
    <w:p w14:paraId="57EEFEF8" w14:textId="289B02A3" w:rsidR="006A2F31" w:rsidRPr="006A2F31" w:rsidRDefault="006A2F31" w:rsidP="00956842">
      <w:pPr>
        <w:jc w:val="both"/>
        <w:rPr>
          <w:rFonts w:cs="Times New Roman"/>
          <w:color w:val="auto"/>
          <w:szCs w:val="20"/>
        </w:rPr>
      </w:pPr>
      <w:r w:rsidRPr="006A2F31">
        <w:rPr>
          <w:rFonts w:cs="Times New Roman"/>
          <w:color w:val="auto"/>
          <w:szCs w:val="20"/>
          <w:highlight w:val="black"/>
        </w:rPr>
        <w:t>XXXXXXXXXXXXXXXXXXXXXXXXXXXXXXXXXXXXXXXXXXXX</w:t>
      </w:r>
    </w:p>
    <w:p w14:paraId="4C6B8CA4" w14:textId="4AABA880" w:rsidR="00956842" w:rsidRDefault="00956842">
      <w:pPr>
        <w:spacing w:line="240" w:lineRule="auto"/>
        <w:rPr>
          <w:rFonts w:cs="Times New Roman"/>
          <w:szCs w:val="20"/>
        </w:rPr>
      </w:pPr>
    </w:p>
    <w:p w14:paraId="079C271C" w14:textId="77777777" w:rsidR="00956842" w:rsidRDefault="00956842" w:rsidP="00956842">
      <w:pPr>
        <w:jc w:val="both"/>
        <w:rPr>
          <w:rFonts w:cs="Times New Roman"/>
          <w:szCs w:val="20"/>
        </w:rPr>
      </w:pPr>
    </w:p>
    <w:p w14:paraId="1FA1C9ED" w14:textId="2C213D79" w:rsidR="00956842" w:rsidRDefault="00956842" w:rsidP="00956842">
      <w:pPr>
        <w:pStyle w:val="Caption"/>
        <w:keepNext/>
      </w:pPr>
      <w:bookmarkStart w:id="0" w:name="_Ref54247235"/>
      <w:r>
        <w:lastRenderedPageBreak/>
        <w:t xml:space="preserve">Table </w:t>
      </w:r>
      <w:fldSimple w:instr=" SEQ Table \* ARABIC ">
        <w:r>
          <w:rPr>
            <w:noProof/>
          </w:rPr>
          <w:t>1</w:t>
        </w:r>
      </w:fldSimple>
      <w:bookmarkEnd w:id="0"/>
      <w:r>
        <w:t>:</w:t>
      </w:r>
      <w:r w:rsidRPr="00956842">
        <w:t xml:space="preserve"> Submission of </w:t>
      </w:r>
      <w:r w:rsidR="000E1127">
        <w:t>5-year</w:t>
      </w:r>
      <w:r>
        <w:t xml:space="preserve"> </w:t>
      </w:r>
      <w:proofErr w:type="spellStart"/>
      <w:r>
        <w:t>C</w:t>
      </w:r>
      <w:r w:rsidR="000E1127">
        <w:t>heckMate</w:t>
      </w:r>
      <w:proofErr w:type="spellEnd"/>
      <w:r w:rsidR="000E1127">
        <w:t xml:space="preserve"> </w:t>
      </w:r>
      <w:r>
        <w:t xml:space="preserve">057 </w:t>
      </w:r>
      <w:r w:rsidRPr="00956842">
        <w:t xml:space="preserve">data </w:t>
      </w:r>
      <w:r w:rsidR="007D1E23">
        <w:t xml:space="preserve">and analyses, </w:t>
      </w:r>
      <w:r w:rsidR="000E1127">
        <w:t xml:space="preserve">prior and </w:t>
      </w:r>
      <w:r w:rsidRPr="00956842">
        <w:t>during ID1572</w:t>
      </w:r>
      <w:r>
        <w:t xml:space="preserve"> </w:t>
      </w:r>
    </w:p>
    <w:tbl>
      <w:tblPr>
        <w:tblStyle w:val="PlainTable1"/>
        <w:tblW w:w="5000" w:type="pct"/>
        <w:tblLook w:val="0420" w:firstRow="1" w:lastRow="0" w:firstColumn="0" w:lastColumn="0" w:noHBand="0" w:noVBand="1"/>
      </w:tblPr>
      <w:tblGrid>
        <w:gridCol w:w="2608"/>
        <w:gridCol w:w="4294"/>
        <w:gridCol w:w="934"/>
      </w:tblGrid>
      <w:tr w:rsidR="000E1127" w:rsidRPr="00956842" w14:paraId="1A50D9E6" w14:textId="77777777" w:rsidTr="000E1127">
        <w:trPr>
          <w:cnfStyle w:val="100000000000" w:firstRow="1" w:lastRow="0" w:firstColumn="0" w:lastColumn="0" w:oddVBand="0" w:evenVBand="0" w:oddHBand="0" w:evenHBand="0" w:firstRowFirstColumn="0" w:firstRowLastColumn="0" w:lastRowFirstColumn="0" w:lastRowLastColumn="0"/>
        </w:trPr>
        <w:tc>
          <w:tcPr>
            <w:tcW w:w="1664" w:type="pct"/>
          </w:tcPr>
          <w:p w14:paraId="5B80F0E9" w14:textId="1CC9AAC9" w:rsidR="00956842" w:rsidRPr="00956842" w:rsidRDefault="00956842" w:rsidP="000E1127">
            <w:pPr>
              <w:rPr>
                <w:rFonts w:cs="Arial"/>
                <w:sz w:val="18"/>
                <w:szCs w:val="18"/>
              </w:rPr>
            </w:pPr>
            <w:r w:rsidRPr="00956842">
              <w:rPr>
                <w:rFonts w:cs="Arial"/>
                <w:sz w:val="18"/>
                <w:szCs w:val="18"/>
              </w:rPr>
              <w:t>Document(s)</w:t>
            </w:r>
          </w:p>
        </w:tc>
        <w:tc>
          <w:tcPr>
            <w:tcW w:w="2740" w:type="pct"/>
          </w:tcPr>
          <w:p w14:paraId="7CA703D7" w14:textId="2F0446ED" w:rsidR="00956842" w:rsidRPr="00956842" w:rsidRDefault="000E1127" w:rsidP="00956842">
            <w:pPr>
              <w:rPr>
                <w:rFonts w:cs="Arial"/>
                <w:sz w:val="18"/>
                <w:szCs w:val="18"/>
              </w:rPr>
            </w:pPr>
            <w:r>
              <w:rPr>
                <w:rFonts w:cs="Arial"/>
                <w:sz w:val="18"/>
                <w:szCs w:val="18"/>
              </w:rPr>
              <w:t>Context</w:t>
            </w:r>
            <w:r w:rsidR="00956842" w:rsidRPr="00956842">
              <w:rPr>
                <w:rFonts w:cs="Arial"/>
                <w:sz w:val="18"/>
                <w:szCs w:val="18"/>
              </w:rPr>
              <w:t xml:space="preserve"> and data included</w:t>
            </w:r>
          </w:p>
        </w:tc>
        <w:tc>
          <w:tcPr>
            <w:tcW w:w="596" w:type="pct"/>
          </w:tcPr>
          <w:p w14:paraId="2E4B5035" w14:textId="77777777" w:rsidR="00956842" w:rsidRPr="00956842" w:rsidRDefault="00956842" w:rsidP="00956842">
            <w:pPr>
              <w:rPr>
                <w:rFonts w:cs="Arial"/>
                <w:sz w:val="18"/>
                <w:szCs w:val="18"/>
              </w:rPr>
            </w:pPr>
            <w:r w:rsidRPr="00956842">
              <w:rPr>
                <w:rFonts w:cs="Arial"/>
                <w:sz w:val="18"/>
                <w:szCs w:val="18"/>
              </w:rPr>
              <w:t>Date</w:t>
            </w:r>
          </w:p>
        </w:tc>
      </w:tr>
      <w:tr w:rsidR="000E1127" w:rsidRPr="00956842" w14:paraId="32CF5F95" w14:textId="77777777" w:rsidTr="000E1127">
        <w:trPr>
          <w:cnfStyle w:val="000000100000" w:firstRow="0" w:lastRow="0" w:firstColumn="0" w:lastColumn="0" w:oddVBand="0" w:evenVBand="0" w:oddHBand="1" w:evenHBand="0" w:firstRowFirstColumn="0" w:firstRowLastColumn="0" w:lastRowFirstColumn="0" w:lastRowLastColumn="0"/>
        </w:trPr>
        <w:tc>
          <w:tcPr>
            <w:tcW w:w="1664" w:type="pct"/>
          </w:tcPr>
          <w:p w14:paraId="2AC3FB76" w14:textId="77777777" w:rsidR="00956842" w:rsidRPr="00956842" w:rsidRDefault="00956842" w:rsidP="00956842">
            <w:pPr>
              <w:spacing w:line="240" w:lineRule="auto"/>
              <w:rPr>
                <w:rFonts w:cs="Arial"/>
                <w:bCs/>
                <w:sz w:val="18"/>
                <w:szCs w:val="18"/>
              </w:rPr>
            </w:pPr>
            <w:r w:rsidRPr="00956842">
              <w:rPr>
                <w:rFonts w:cs="Arial"/>
                <w:bCs/>
                <w:sz w:val="18"/>
                <w:szCs w:val="18"/>
              </w:rPr>
              <w:t>BMS Proposal – Review of nivolumab for the treatment of locally advanced or metastatic non-small cell lung cancer (NSCLC) after prior chemotherapy in adults</w:t>
            </w:r>
          </w:p>
        </w:tc>
        <w:tc>
          <w:tcPr>
            <w:tcW w:w="2740" w:type="pct"/>
          </w:tcPr>
          <w:p w14:paraId="3B92AC78" w14:textId="3ACBEE4E" w:rsidR="00956842" w:rsidRPr="00956842" w:rsidRDefault="00956842" w:rsidP="00956842">
            <w:pPr>
              <w:rPr>
                <w:rFonts w:cs="Arial"/>
                <w:sz w:val="18"/>
                <w:szCs w:val="18"/>
              </w:rPr>
            </w:pPr>
            <w:r w:rsidRPr="00956842">
              <w:rPr>
                <w:rFonts w:cs="Arial"/>
                <w:sz w:val="18"/>
                <w:szCs w:val="18"/>
              </w:rPr>
              <w:t xml:space="preserve">Proposal presented by BMS that NICE review the guidance in line with the marketing </w:t>
            </w:r>
            <w:r w:rsidR="00281E8B" w:rsidRPr="00956842">
              <w:rPr>
                <w:rFonts w:cs="Arial"/>
                <w:sz w:val="18"/>
                <w:szCs w:val="18"/>
              </w:rPr>
              <w:t>authorization</w:t>
            </w:r>
            <w:r w:rsidRPr="00956842">
              <w:rPr>
                <w:rFonts w:cs="Arial"/>
                <w:sz w:val="18"/>
                <w:szCs w:val="18"/>
              </w:rPr>
              <w:t xml:space="preserve"> and the final scope of the original appraisal and that the committee consider all the new evidence available to allow for a change in the recommendation of TA484 to include all NSQ patients as part of the CDF review.</w:t>
            </w:r>
          </w:p>
          <w:p w14:paraId="04EF3FD4" w14:textId="77777777" w:rsidR="00956842" w:rsidRPr="00956842" w:rsidRDefault="00956842" w:rsidP="00956842">
            <w:pPr>
              <w:rPr>
                <w:rFonts w:cs="Arial"/>
                <w:sz w:val="18"/>
                <w:szCs w:val="18"/>
              </w:rPr>
            </w:pPr>
          </w:p>
          <w:p w14:paraId="69705F63" w14:textId="77777777" w:rsidR="00956842" w:rsidRPr="00956842" w:rsidRDefault="00956842" w:rsidP="00956842">
            <w:pPr>
              <w:rPr>
                <w:rFonts w:cs="Arial"/>
                <w:sz w:val="18"/>
                <w:szCs w:val="18"/>
              </w:rPr>
            </w:pPr>
            <w:r w:rsidRPr="00956842">
              <w:rPr>
                <w:rFonts w:cs="Arial"/>
                <w:sz w:val="18"/>
                <w:szCs w:val="18"/>
              </w:rPr>
              <w:t>Includes clinical effectiveness data from Checkmate 057 for:</w:t>
            </w:r>
          </w:p>
          <w:p w14:paraId="17083BB9" w14:textId="589DD305"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whole population (regardless of PD-L1 status),</w:t>
            </w:r>
          </w:p>
          <w:p w14:paraId="31E7EB1F" w14:textId="6BCE11B0" w:rsidR="00956842" w:rsidRPr="00956842" w:rsidRDefault="001E10AC" w:rsidP="00956842">
            <w:pPr>
              <w:pStyle w:val="ListParagraph"/>
              <w:numPr>
                <w:ilvl w:val="0"/>
                <w:numId w:val="8"/>
              </w:numPr>
              <w:spacing w:line="240" w:lineRule="auto"/>
              <w:ind w:left="357" w:hanging="357"/>
              <w:rPr>
                <w:rFonts w:cs="Arial"/>
                <w:sz w:val="18"/>
                <w:szCs w:val="18"/>
              </w:rPr>
            </w:pPr>
            <w:r>
              <w:rPr>
                <w:rFonts w:cs="Arial"/>
                <w:sz w:val="18"/>
                <w:szCs w:val="18"/>
              </w:rPr>
              <w:t>PD-L1 ≥</w:t>
            </w:r>
            <w:r w:rsidR="00956842" w:rsidRPr="00956842">
              <w:rPr>
                <w:rFonts w:cs="Arial"/>
                <w:sz w:val="18"/>
                <w:szCs w:val="18"/>
              </w:rPr>
              <w:t>1% patients,</w:t>
            </w:r>
          </w:p>
          <w:p w14:paraId="2933BF9B" w14:textId="77777777"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PD-L1 &lt;1% patients,</w:t>
            </w:r>
          </w:p>
          <w:p w14:paraId="414A71C1" w14:textId="77777777"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unquantifiable PD-L1 patients.</w:t>
            </w:r>
          </w:p>
        </w:tc>
        <w:tc>
          <w:tcPr>
            <w:tcW w:w="596" w:type="pct"/>
          </w:tcPr>
          <w:p w14:paraId="5FFAC7C9" w14:textId="77777777" w:rsidR="00956842" w:rsidRPr="00956842" w:rsidRDefault="00956842" w:rsidP="00956842">
            <w:pPr>
              <w:rPr>
                <w:rFonts w:cs="Arial"/>
                <w:sz w:val="18"/>
                <w:szCs w:val="18"/>
              </w:rPr>
            </w:pPr>
            <w:r w:rsidRPr="00956842">
              <w:rPr>
                <w:rFonts w:cs="Arial"/>
                <w:sz w:val="18"/>
                <w:szCs w:val="18"/>
              </w:rPr>
              <w:t>25th July 2019</w:t>
            </w:r>
          </w:p>
        </w:tc>
      </w:tr>
      <w:tr w:rsidR="000E1127" w:rsidRPr="00956842" w14:paraId="7852B794" w14:textId="77777777" w:rsidTr="000E1127">
        <w:tc>
          <w:tcPr>
            <w:tcW w:w="1664" w:type="pct"/>
          </w:tcPr>
          <w:p w14:paraId="5892B0BE" w14:textId="39B539FD" w:rsidR="00956842" w:rsidRPr="00956842" w:rsidRDefault="00956842" w:rsidP="00956842">
            <w:pPr>
              <w:spacing w:line="240" w:lineRule="auto"/>
              <w:rPr>
                <w:rFonts w:cs="Arial"/>
                <w:bCs/>
                <w:sz w:val="18"/>
                <w:szCs w:val="18"/>
              </w:rPr>
            </w:pPr>
            <w:r w:rsidRPr="00956842">
              <w:rPr>
                <w:rFonts w:cs="Arial"/>
                <w:bCs/>
                <w:sz w:val="18"/>
                <w:szCs w:val="18"/>
              </w:rPr>
              <w:t>TA484 Nivolumab in 2L NSQ NSCLC Document D 8 August 2019</w:t>
            </w:r>
          </w:p>
        </w:tc>
        <w:tc>
          <w:tcPr>
            <w:tcW w:w="2740" w:type="pct"/>
          </w:tcPr>
          <w:p w14:paraId="0E934C28" w14:textId="787E6A36" w:rsidR="00956842" w:rsidRPr="00956842" w:rsidRDefault="00956842" w:rsidP="00956842">
            <w:pPr>
              <w:rPr>
                <w:rFonts w:cs="Arial"/>
                <w:sz w:val="18"/>
                <w:szCs w:val="18"/>
              </w:rPr>
            </w:pPr>
            <w:r w:rsidRPr="00956842">
              <w:rPr>
                <w:rFonts w:cs="Arial"/>
                <w:sz w:val="18"/>
                <w:szCs w:val="18"/>
              </w:rPr>
              <w:t>Original company evidence submission for CDF review.</w:t>
            </w:r>
          </w:p>
          <w:p w14:paraId="43DD59EC" w14:textId="77777777" w:rsidR="00956842" w:rsidRPr="00956842" w:rsidRDefault="00956842" w:rsidP="00956842">
            <w:pPr>
              <w:rPr>
                <w:rFonts w:cs="Arial"/>
                <w:sz w:val="18"/>
                <w:szCs w:val="18"/>
              </w:rPr>
            </w:pPr>
          </w:p>
          <w:p w14:paraId="1DCF7FD7" w14:textId="77777777" w:rsidR="00956842" w:rsidRPr="00956842" w:rsidRDefault="00956842" w:rsidP="00956842">
            <w:pPr>
              <w:rPr>
                <w:rFonts w:cs="Arial"/>
                <w:sz w:val="18"/>
                <w:szCs w:val="18"/>
              </w:rPr>
            </w:pPr>
            <w:r w:rsidRPr="00956842">
              <w:rPr>
                <w:rFonts w:cs="Arial"/>
                <w:sz w:val="18"/>
                <w:szCs w:val="18"/>
              </w:rPr>
              <w:t>Includes clinical effectiveness data from Checkmate 057 for:</w:t>
            </w:r>
          </w:p>
          <w:p w14:paraId="3C680B0F" w14:textId="24BD8883"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whole population (regardless of PD-L1 status),</w:t>
            </w:r>
          </w:p>
          <w:p w14:paraId="7E7D21E0" w14:textId="4D854F83" w:rsidR="00956842" w:rsidRPr="00956842" w:rsidRDefault="001E10AC" w:rsidP="00956842">
            <w:pPr>
              <w:pStyle w:val="ListParagraph"/>
              <w:numPr>
                <w:ilvl w:val="0"/>
                <w:numId w:val="8"/>
              </w:numPr>
              <w:spacing w:line="240" w:lineRule="auto"/>
              <w:ind w:left="357" w:hanging="357"/>
              <w:rPr>
                <w:rFonts w:cs="Arial"/>
                <w:sz w:val="18"/>
                <w:szCs w:val="18"/>
              </w:rPr>
            </w:pPr>
            <w:r>
              <w:rPr>
                <w:rFonts w:cs="Arial"/>
                <w:sz w:val="18"/>
                <w:szCs w:val="18"/>
              </w:rPr>
              <w:t>PD-L1 ≥</w:t>
            </w:r>
            <w:r w:rsidR="00956842" w:rsidRPr="00956842">
              <w:rPr>
                <w:rFonts w:cs="Arial"/>
                <w:sz w:val="18"/>
                <w:szCs w:val="18"/>
              </w:rPr>
              <w:t>1% patients,</w:t>
            </w:r>
          </w:p>
          <w:p w14:paraId="21899001" w14:textId="77777777"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PD-L1 &lt;1% patients,</w:t>
            </w:r>
          </w:p>
          <w:p w14:paraId="35663322" w14:textId="77777777" w:rsidR="00956842" w:rsidRPr="00956842" w:rsidRDefault="00956842" w:rsidP="00956842">
            <w:pPr>
              <w:pStyle w:val="ListParagraph"/>
              <w:numPr>
                <w:ilvl w:val="0"/>
                <w:numId w:val="8"/>
              </w:numPr>
              <w:spacing w:line="240" w:lineRule="auto"/>
              <w:ind w:left="357" w:hanging="357"/>
              <w:rPr>
                <w:sz w:val="18"/>
                <w:szCs w:val="18"/>
              </w:rPr>
            </w:pPr>
            <w:r w:rsidRPr="00956842">
              <w:rPr>
                <w:rFonts w:cs="Arial"/>
                <w:sz w:val="18"/>
                <w:szCs w:val="18"/>
              </w:rPr>
              <w:t>unquantifiable PD-L1 patients.</w:t>
            </w:r>
          </w:p>
          <w:p w14:paraId="2CC45EBE" w14:textId="77777777" w:rsidR="00956842" w:rsidRPr="00956842" w:rsidRDefault="00956842" w:rsidP="00956842">
            <w:pPr>
              <w:rPr>
                <w:rFonts w:cs="Arial"/>
                <w:sz w:val="18"/>
                <w:szCs w:val="18"/>
              </w:rPr>
            </w:pPr>
          </w:p>
          <w:p w14:paraId="04736C21" w14:textId="77777777" w:rsidR="00956842" w:rsidRPr="00956842" w:rsidRDefault="00956842" w:rsidP="00956842">
            <w:pPr>
              <w:rPr>
                <w:rFonts w:cs="Arial"/>
                <w:sz w:val="18"/>
                <w:szCs w:val="18"/>
              </w:rPr>
            </w:pPr>
            <w:r w:rsidRPr="00956842">
              <w:rPr>
                <w:rFonts w:cs="Arial"/>
                <w:sz w:val="18"/>
                <w:szCs w:val="18"/>
              </w:rPr>
              <w:t>Also includes cost-effectiveness analyses for:</w:t>
            </w:r>
          </w:p>
          <w:p w14:paraId="5B07DDF1" w14:textId="162ADCD7"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whole population (regardless of PD-L1 status),</w:t>
            </w:r>
          </w:p>
          <w:p w14:paraId="57DA49FB" w14:textId="16700056" w:rsidR="00956842" w:rsidRPr="00956842" w:rsidRDefault="001E10AC" w:rsidP="00956842">
            <w:pPr>
              <w:pStyle w:val="ListParagraph"/>
              <w:numPr>
                <w:ilvl w:val="0"/>
                <w:numId w:val="8"/>
              </w:numPr>
              <w:spacing w:line="240" w:lineRule="auto"/>
              <w:ind w:left="357" w:hanging="357"/>
              <w:rPr>
                <w:rFonts w:cs="Arial"/>
                <w:sz w:val="18"/>
                <w:szCs w:val="18"/>
              </w:rPr>
            </w:pPr>
            <w:r>
              <w:rPr>
                <w:rFonts w:cs="Arial"/>
                <w:sz w:val="18"/>
                <w:szCs w:val="18"/>
              </w:rPr>
              <w:t>PD-L1 ≥</w:t>
            </w:r>
            <w:r w:rsidR="00956842" w:rsidRPr="00956842">
              <w:rPr>
                <w:rFonts w:cs="Arial"/>
                <w:sz w:val="18"/>
                <w:szCs w:val="18"/>
              </w:rPr>
              <w:t>1% patients,</w:t>
            </w:r>
          </w:p>
          <w:p w14:paraId="6C54FD72" w14:textId="77777777" w:rsidR="00956842" w:rsidRPr="00956842" w:rsidRDefault="00956842" w:rsidP="00956842">
            <w:pPr>
              <w:pStyle w:val="ListParagraph"/>
              <w:numPr>
                <w:ilvl w:val="0"/>
                <w:numId w:val="8"/>
              </w:numPr>
              <w:spacing w:line="240" w:lineRule="auto"/>
              <w:ind w:left="357" w:hanging="357"/>
              <w:rPr>
                <w:rFonts w:cs="Arial"/>
                <w:sz w:val="18"/>
                <w:szCs w:val="18"/>
              </w:rPr>
            </w:pPr>
            <w:r w:rsidRPr="00956842">
              <w:rPr>
                <w:rFonts w:cs="Arial"/>
                <w:sz w:val="18"/>
                <w:szCs w:val="18"/>
              </w:rPr>
              <w:t>PD-L1 &lt;1% patients.</w:t>
            </w:r>
          </w:p>
        </w:tc>
        <w:tc>
          <w:tcPr>
            <w:tcW w:w="596" w:type="pct"/>
          </w:tcPr>
          <w:p w14:paraId="138BE166" w14:textId="77777777" w:rsidR="00956842" w:rsidRPr="00956842" w:rsidRDefault="00956842" w:rsidP="00956842">
            <w:pPr>
              <w:rPr>
                <w:rFonts w:cs="Arial"/>
                <w:sz w:val="18"/>
                <w:szCs w:val="18"/>
              </w:rPr>
            </w:pPr>
            <w:r w:rsidRPr="00956842">
              <w:rPr>
                <w:rFonts w:cs="Arial"/>
                <w:sz w:val="18"/>
                <w:szCs w:val="18"/>
              </w:rPr>
              <w:t>8th August 2019</w:t>
            </w:r>
          </w:p>
        </w:tc>
      </w:tr>
      <w:tr w:rsidR="000E1127" w:rsidRPr="00956842" w14:paraId="2C62CD90" w14:textId="77777777" w:rsidTr="000E1127">
        <w:trPr>
          <w:cnfStyle w:val="000000100000" w:firstRow="0" w:lastRow="0" w:firstColumn="0" w:lastColumn="0" w:oddVBand="0" w:evenVBand="0" w:oddHBand="1" w:evenHBand="0" w:firstRowFirstColumn="0" w:firstRowLastColumn="0" w:lastRowFirstColumn="0" w:lastRowLastColumn="0"/>
        </w:trPr>
        <w:tc>
          <w:tcPr>
            <w:tcW w:w="1664" w:type="pct"/>
          </w:tcPr>
          <w:p w14:paraId="1859AB71" w14:textId="0566D004" w:rsidR="00956842" w:rsidRPr="00956842" w:rsidRDefault="00956842" w:rsidP="00956842">
            <w:pPr>
              <w:spacing w:line="240" w:lineRule="auto"/>
              <w:rPr>
                <w:rFonts w:cs="Arial"/>
                <w:bCs/>
                <w:sz w:val="18"/>
                <w:szCs w:val="18"/>
              </w:rPr>
            </w:pPr>
            <w:r w:rsidRPr="00956842">
              <w:rPr>
                <w:rFonts w:cs="Arial"/>
                <w:bCs/>
                <w:sz w:val="18"/>
                <w:szCs w:val="18"/>
              </w:rPr>
              <w:t>TA484 Nivolumab in 2L NSQ NSCLC Document D 14 August 2019</w:t>
            </w:r>
          </w:p>
          <w:p w14:paraId="4312DF7F" w14:textId="77777777" w:rsidR="00956842" w:rsidRPr="00956842" w:rsidRDefault="00956842" w:rsidP="00956842">
            <w:pPr>
              <w:ind w:left="357" w:hanging="357"/>
              <w:rPr>
                <w:rFonts w:cs="Arial"/>
                <w:sz w:val="18"/>
                <w:szCs w:val="18"/>
              </w:rPr>
            </w:pPr>
          </w:p>
          <w:p w14:paraId="4614F5FC" w14:textId="77777777" w:rsidR="00956842" w:rsidRPr="00956842" w:rsidRDefault="00956842" w:rsidP="00956842">
            <w:pPr>
              <w:spacing w:line="240" w:lineRule="auto"/>
              <w:rPr>
                <w:rFonts w:cs="Arial"/>
                <w:bCs/>
                <w:sz w:val="18"/>
                <w:szCs w:val="18"/>
              </w:rPr>
            </w:pPr>
            <w:r w:rsidRPr="00956842">
              <w:rPr>
                <w:rFonts w:cs="Arial"/>
                <w:bCs/>
                <w:sz w:val="18"/>
                <w:szCs w:val="18"/>
              </w:rPr>
              <w:t>TA484 Nivolumab in 2L NSQ NSCLC Appendix A PDL1 1% analyses 14 August 2019</w:t>
            </w:r>
          </w:p>
          <w:p w14:paraId="2D2D9F23" w14:textId="77777777" w:rsidR="00956842" w:rsidRPr="00956842" w:rsidRDefault="00956842" w:rsidP="00956842">
            <w:pPr>
              <w:ind w:left="357" w:hanging="357"/>
              <w:rPr>
                <w:rFonts w:cs="Arial"/>
                <w:sz w:val="18"/>
                <w:szCs w:val="18"/>
              </w:rPr>
            </w:pPr>
          </w:p>
        </w:tc>
        <w:tc>
          <w:tcPr>
            <w:tcW w:w="2740" w:type="pct"/>
          </w:tcPr>
          <w:p w14:paraId="4A3ECC58" w14:textId="0F0719D1" w:rsidR="00956842" w:rsidRPr="00956842" w:rsidRDefault="00956842" w:rsidP="00281E8B">
            <w:pPr>
              <w:rPr>
                <w:rFonts w:cs="Arial"/>
                <w:sz w:val="18"/>
                <w:szCs w:val="18"/>
              </w:rPr>
            </w:pPr>
            <w:r w:rsidRPr="00956842">
              <w:rPr>
                <w:rFonts w:cs="Arial"/>
                <w:sz w:val="18"/>
                <w:szCs w:val="18"/>
              </w:rPr>
              <w:t>Upon request from NICE, amend</w:t>
            </w:r>
            <w:r w:rsidR="00281E8B">
              <w:rPr>
                <w:rFonts w:cs="Arial"/>
                <w:sz w:val="18"/>
                <w:szCs w:val="18"/>
              </w:rPr>
              <w:t xml:space="preserve">ed company evidence submission </w:t>
            </w:r>
            <w:proofErr w:type="gramStart"/>
            <w:r w:rsidRPr="00956842">
              <w:rPr>
                <w:rFonts w:cs="Arial"/>
                <w:sz w:val="18"/>
                <w:szCs w:val="18"/>
              </w:rPr>
              <w:t>placing  clinical</w:t>
            </w:r>
            <w:proofErr w:type="gramEnd"/>
            <w:r w:rsidRPr="00956842">
              <w:rPr>
                <w:rFonts w:cs="Arial"/>
                <w:sz w:val="18"/>
                <w:szCs w:val="18"/>
              </w:rPr>
              <w:t xml:space="preserve"> effectiveness data and cost-effectiveness results for PD-L1 &lt;1% patients in the appendix.</w:t>
            </w:r>
          </w:p>
        </w:tc>
        <w:tc>
          <w:tcPr>
            <w:tcW w:w="596" w:type="pct"/>
          </w:tcPr>
          <w:p w14:paraId="66322282" w14:textId="77777777" w:rsidR="00956842" w:rsidRPr="00956842" w:rsidRDefault="00956842" w:rsidP="00956842">
            <w:pPr>
              <w:rPr>
                <w:rFonts w:cs="Arial"/>
                <w:sz w:val="18"/>
                <w:szCs w:val="18"/>
              </w:rPr>
            </w:pPr>
            <w:r w:rsidRPr="00956842">
              <w:rPr>
                <w:rFonts w:cs="Arial"/>
                <w:sz w:val="18"/>
                <w:szCs w:val="18"/>
              </w:rPr>
              <w:t>15th August 2019</w:t>
            </w:r>
          </w:p>
        </w:tc>
      </w:tr>
      <w:tr w:rsidR="000E1127" w:rsidRPr="00956842" w14:paraId="500FF8BA" w14:textId="77777777" w:rsidTr="000E1127">
        <w:tc>
          <w:tcPr>
            <w:tcW w:w="1664" w:type="pct"/>
          </w:tcPr>
          <w:p w14:paraId="6574DC36" w14:textId="77777777" w:rsidR="00956842" w:rsidRPr="00956842" w:rsidRDefault="00956842" w:rsidP="00956842">
            <w:pPr>
              <w:spacing w:line="240" w:lineRule="auto"/>
              <w:rPr>
                <w:rFonts w:cs="Arial"/>
                <w:bCs/>
                <w:sz w:val="18"/>
                <w:szCs w:val="18"/>
              </w:rPr>
            </w:pPr>
            <w:r w:rsidRPr="00956842">
              <w:rPr>
                <w:rFonts w:cs="Arial"/>
                <w:bCs/>
                <w:sz w:val="18"/>
                <w:szCs w:val="18"/>
              </w:rPr>
              <w:t>ID1572 nivolumab (non-</w:t>
            </w:r>
            <w:proofErr w:type="spellStart"/>
            <w:r w:rsidRPr="00956842">
              <w:rPr>
                <w:rFonts w:cs="Arial"/>
                <w:bCs/>
                <w:sz w:val="18"/>
                <w:szCs w:val="18"/>
              </w:rPr>
              <w:t>squ</w:t>
            </w:r>
            <w:proofErr w:type="spellEnd"/>
            <w:r w:rsidRPr="00956842">
              <w:rPr>
                <w:rFonts w:cs="Arial"/>
                <w:bCs/>
                <w:sz w:val="18"/>
                <w:szCs w:val="18"/>
              </w:rPr>
              <w:t>) company response to clarification questions</w:t>
            </w:r>
          </w:p>
          <w:p w14:paraId="4F30E7B9" w14:textId="60A8034E" w:rsidR="00956842" w:rsidRPr="00956842" w:rsidRDefault="00956842" w:rsidP="00956842">
            <w:pPr>
              <w:ind w:left="357" w:hanging="357"/>
              <w:rPr>
                <w:rFonts w:cs="Arial"/>
                <w:sz w:val="18"/>
                <w:szCs w:val="18"/>
              </w:rPr>
            </w:pPr>
          </w:p>
          <w:p w14:paraId="22367176" w14:textId="77777777" w:rsidR="00956842" w:rsidRPr="00956842" w:rsidRDefault="00956842" w:rsidP="00956842">
            <w:pPr>
              <w:spacing w:line="240" w:lineRule="auto"/>
              <w:rPr>
                <w:rFonts w:cs="Arial"/>
                <w:bCs/>
                <w:sz w:val="18"/>
                <w:szCs w:val="18"/>
              </w:rPr>
            </w:pPr>
            <w:r w:rsidRPr="00956842">
              <w:rPr>
                <w:rFonts w:cs="Arial"/>
                <w:bCs/>
                <w:sz w:val="18"/>
                <w:szCs w:val="18"/>
              </w:rPr>
              <w:t>Response to ERG clarification questions Appendix on PD-L1 1% analyses</w:t>
            </w:r>
          </w:p>
        </w:tc>
        <w:tc>
          <w:tcPr>
            <w:tcW w:w="2740" w:type="pct"/>
          </w:tcPr>
          <w:p w14:paraId="1DAB79C3" w14:textId="77777777" w:rsidR="00956842" w:rsidRPr="00956842" w:rsidRDefault="00956842" w:rsidP="00956842">
            <w:pPr>
              <w:rPr>
                <w:rFonts w:cs="Arial"/>
                <w:sz w:val="18"/>
                <w:szCs w:val="18"/>
              </w:rPr>
            </w:pPr>
            <w:r w:rsidRPr="00956842">
              <w:rPr>
                <w:rFonts w:cs="Arial"/>
                <w:sz w:val="18"/>
                <w:szCs w:val="18"/>
              </w:rPr>
              <w:t>Clarification questions response to ERG questions.</w:t>
            </w:r>
          </w:p>
          <w:p w14:paraId="566AE2AA" w14:textId="77777777" w:rsidR="00956842" w:rsidRPr="00956842" w:rsidRDefault="00956842" w:rsidP="00956842">
            <w:pPr>
              <w:rPr>
                <w:rFonts w:cs="Arial"/>
                <w:sz w:val="18"/>
                <w:szCs w:val="18"/>
              </w:rPr>
            </w:pPr>
          </w:p>
          <w:p w14:paraId="5D866FC5" w14:textId="77777777" w:rsidR="00956842" w:rsidRPr="00956842" w:rsidRDefault="00956842" w:rsidP="00956842">
            <w:pPr>
              <w:rPr>
                <w:rFonts w:cs="Arial"/>
                <w:sz w:val="18"/>
                <w:szCs w:val="18"/>
              </w:rPr>
            </w:pPr>
            <w:r w:rsidRPr="00956842">
              <w:rPr>
                <w:rFonts w:cs="Arial"/>
                <w:sz w:val="18"/>
                <w:szCs w:val="18"/>
              </w:rPr>
              <w:t>Includes:</w:t>
            </w:r>
          </w:p>
          <w:p w14:paraId="097AB482" w14:textId="3C805B7A" w:rsidR="00956842" w:rsidRPr="00956842" w:rsidRDefault="00956842" w:rsidP="00956842">
            <w:pPr>
              <w:pStyle w:val="ListParagraph"/>
              <w:numPr>
                <w:ilvl w:val="0"/>
                <w:numId w:val="7"/>
              </w:numPr>
              <w:spacing w:line="240" w:lineRule="auto"/>
              <w:ind w:left="357" w:hanging="357"/>
              <w:rPr>
                <w:rFonts w:cs="Arial"/>
                <w:sz w:val="18"/>
                <w:szCs w:val="18"/>
              </w:rPr>
            </w:pPr>
            <w:r w:rsidRPr="00956842">
              <w:rPr>
                <w:rFonts w:cs="Arial"/>
                <w:sz w:val="18"/>
                <w:szCs w:val="18"/>
              </w:rPr>
              <w:t>Detailed clinical effectiveness data for whole population (regardle</w:t>
            </w:r>
            <w:r w:rsidR="001E10AC">
              <w:rPr>
                <w:rFonts w:cs="Arial"/>
                <w:sz w:val="18"/>
                <w:szCs w:val="18"/>
              </w:rPr>
              <w:t>ss of PD-L1 status) and PD-L1 ≥</w:t>
            </w:r>
            <w:r w:rsidRPr="00956842">
              <w:rPr>
                <w:rFonts w:cs="Arial"/>
                <w:sz w:val="18"/>
                <w:szCs w:val="18"/>
              </w:rPr>
              <w:t>1%</w:t>
            </w:r>
          </w:p>
          <w:p w14:paraId="436B8DD5" w14:textId="77777777" w:rsidR="00956842" w:rsidRPr="00956842" w:rsidRDefault="00956842" w:rsidP="00956842">
            <w:pPr>
              <w:pStyle w:val="ListParagraph"/>
              <w:numPr>
                <w:ilvl w:val="0"/>
                <w:numId w:val="7"/>
              </w:numPr>
              <w:spacing w:line="240" w:lineRule="auto"/>
              <w:ind w:left="357" w:hanging="357"/>
              <w:rPr>
                <w:rFonts w:cs="Arial"/>
                <w:sz w:val="18"/>
                <w:szCs w:val="18"/>
              </w:rPr>
            </w:pPr>
            <w:proofErr w:type="spellStart"/>
            <w:r w:rsidRPr="00956842">
              <w:rPr>
                <w:rFonts w:cs="Arial"/>
                <w:sz w:val="18"/>
                <w:szCs w:val="18"/>
              </w:rPr>
              <w:t>Kaplain</w:t>
            </w:r>
            <w:proofErr w:type="spellEnd"/>
            <w:r w:rsidRPr="00956842">
              <w:rPr>
                <w:rFonts w:cs="Arial"/>
                <w:sz w:val="18"/>
                <w:szCs w:val="18"/>
              </w:rPr>
              <w:t>-Meier plots for overall survival by 1%, 5% and 10% PD-L1 subgroups</w:t>
            </w:r>
          </w:p>
          <w:p w14:paraId="102CFD79" w14:textId="6A11EFDD" w:rsidR="00956842" w:rsidRPr="00956842" w:rsidRDefault="00956842" w:rsidP="00956842">
            <w:pPr>
              <w:pStyle w:val="ListParagraph"/>
              <w:numPr>
                <w:ilvl w:val="0"/>
                <w:numId w:val="7"/>
              </w:numPr>
              <w:spacing w:line="240" w:lineRule="auto"/>
              <w:ind w:left="357" w:hanging="357"/>
              <w:rPr>
                <w:rFonts w:cs="Arial"/>
                <w:sz w:val="18"/>
                <w:szCs w:val="18"/>
              </w:rPr>
            </w:pPr>
            <w:r w:rsidRPr="00956842">
              <w:rPr>
                <w:rFonts w:cs="Arial"/>
                <w:sz w:val="18"/>
                <w:szCs w:val="18"/>
              </w:rPr>
              <w:lastRenderedPageBreak/>
              <w:t>Additional cost-effectiveness analyses for the whole population and PD-L1 ≥ 1%.</w:t>
            </w:r>
          </w:p>
          <w:p w14:paraId="2904BD50" w14:textId="77777777" w:rsidR="00956842" w:rsidRPr="00956842" w:rsidRDefault="00956842" w:rsidP="00956842">
            <w:pPr>
              <w:rPr>
                <w:rFonts w:cs="Arial"/>
                <w:sz w:val="18"/>
                <w:szCs w:val="18"/>
              </w:rPr>
            </w:pPr>
          </w:p>
          <w:p w14:paraId="35DF5BF0" w14:textId="7064A47D" w:rsidR="00956842" w:rsidRPr="00956842" w:rsidRDefault="00956842" w:rsidP="00F67794">
            <w:pPr>
              <w:rPr>
                <w:rFonts w:cs="Arial"/>
                <w:sz w:val="18"/>
                <w:szCs w:val="18"/>
              </w:rPr>
            </w:pPr>
            <w:r w:rsidRPr="00956842">
              <w:rPr>
                <w:rFonts w:cs="Arial"/>
                <w:sz w:val="18"/>
                <w:szCs w:val="18"/>
              </w:rPr>
              <w:t>Detailed clinical effectiveness data and cost-effect</w:t>
            </w:r>
            <w:r w:rsidR="00F67794">
              <w:rPr>
                <w:rFonts w:cs="Arial"/>
                <w:sz w:val="18"/>
                <w:szCs w:val="18"/>
              </w:rPr>
              <w:t>iveness analyses for PD-L1 &lt;1% patients</w:t>
            </w:r>
            <w:r w:rsidRPr="00956842">
              <w:rPr>
                <w:rFonts w:cs="Arial"/>
                <w:sz w:val="18"/>
                <w:szCs w:val="18"/>
              </w:rPr>
              <w:t xml:space="preserve"> are provided in the appendix.</w:t>
            </w:r>
          </w:p>
        </w:tc>
        <w:tc>
          <w:tcPr>
            <w:tcW w:w="596" w:type="pct"/>
          </w:tcPr>
          <w:p w14:paraId="54D6D0AA" w14:textId="77777777" w:rsidR="00956842" w:rsidRPr="00956842" w:rsidRDefault="00956842" w:rsidP="00956842">
            <w:pPr>
              <w:rPr>
                <w:rFonts w:cs="Arial"/>
                <w:sz w:val="18"/>
                <w:szCs w:val="18"/>
              </w:rPr>
            </w:pPr>
            <w:r w:rsidRPr="00956842">
              <w:rPr>
                <w:rFonts w:cs="Arial"/>
                <w:sz w:val="18"/>
                <w:szCs w:val="18"/>
              </w:rPr>
              <w:lastRenderedPageBreak/>
              <w:t>31st January 2019</w:t>
            </w:r>
          </w:p>
        </w:tc>
      </w:tr>
      <w:tr w:rsidR="000E1127" w:rsidRPr="00956842" w14:paraId="46ACEBAA" w14:textId="77777777" w:rsidTr="000E1127">
        <w:trPr>
          <w:cnfStyle w:val="000000100000" w:firstRow="0" w:lastRow="0" w:firstColumn="0" w:lastColumn="0" w:oddVBand="0" w:evenVBand="0" w:oddHBand="1" w:evenHBand="0" w:firstRowFirstColumn="0" w:firstRowLastColumn="0" w:lastRowFirstColumn="0" w:lastRowLastColumn="0"/>
        </w:trPr>
        <w:tc>
          <w:tcPr>
            <w:tcW w:w="1664" w:type="pct"/>
          </w:tcPr>
          <w:p w14:paraId="261B8353" w14:textId="77777777" w:rsidR="00F168DD" w:rsidRDefault="007D1E23" w:rsidP="00956842">
            <w:pPr>
              <w:rPr>
                <w:rFonts w:cs="Arial"/>
                <w:sz w:val="18"/>
                <w:szCs w:val="18"/>
              </w:rPr>
            </w:pPr>
            <w:r>
              <w:rPr>
                <w:rFonts w:cs="Arial"/>
                <w:sz w:val="18"/>
                <w:szCs w:val="18"/>
              </w:rPr>
              <w:t>ID1572 NSQ Nivolumab TE stakeholder response form [ACIC] Final 17 Feb 20</w:t>
            </w:r>
          </w:p>
          <w:p w14:paraId="4D80921B" w14:textId="77777777" w:rsidR="00F168DD" w:rsidRDefault="00F168DD" w:rsidP="00956842">
            <w:pPr>
              <w:rPr>
                <w:rFonts w:cs="Arial"/>
                <w:sz w:val="18"/>
                <w:szCs w:val="18"/>
              </w:rPr>
            </w:pPr>
          </w:p>
          <w:p w14:paraId="0FC5D1CA" w14:textId="0411D745" w:rsidR="00956842" w:rsidRPr="00956842" w:rsidRDefault="00F168DD" w:rsidP="00956842">
            <w:pPr>
              <w:rPr>
                <w:rFonts w:cs="Arial"/>
                <w:sz w:val="18"/>
                <w:szCs w:val="18"/>
              </w:rPr>
            </w:pPr>
            <w:r>
              <w:rPr>
                <w:rFonts w:cs="Arial"/>
                <w:sz w:val="18"/>
                <w:szCs w:val="18"/>
              </w:rPr>
              <w:t>NSQ Tech Engagement Letter AIC 17 Feb20_AS</w:t>
            </w:r>
          </w:p>
        </w:tc>
        <w:tc>
          <w:tcPr>
            <w:tcW w:w="2740" w:type="pct"/>
          </w:tcPr>
          <w:p w14:paraId="50AA47A5" w14:textId="77777777" w:rsidR="00F168DD" w:rsidRDefault="007D1E23" w:rsidP="00F168DD">
            <w:pPr>
              <w:rPr>
                <w:rFonts w:cs="Arial"/>
                <w:sz w:val="18"/>
                <w:szCs w:val="18"/>
              </w:rPr>
            </w:pPr>
            <w:r>
              <w:rPr>
                <w:rFonts w:cs="Arial"/>
                <w:sz w:val="18"/>
                <w:szCs w:val="18"/>
              </w:rPr>
              <w:t>Response to</w:t>
            </w:r>
            <w:r w:rsidRPr="007D1E23">
              <w:rPr>
                <w:rFonts w:cs="Arial"/>
                <w:sz w:val="18"/>
                <w:szCs w:val="18"/>
              </w:rPr>
              <w:t xml:space="preserve"> the </w:t>
            </w:r>
            <w:r>
              <w:rPr>
                <w:rFonts w:cs="Arial"/>
                <w:sz w:val="18"/>
                <w:szCs w:val="18"/>
              </w:rPr>
              <w:t>questions for engagement within the technical report</w:t>
            </w:r>
          </w:p>
          <w:p w14:paraId="30117C1C" w14:textId="77777777" w:rsidR="00F168DD" w:rsidRDefault="00F168DD" w:rsidP="00F168DD">
            <w:pPr>
              <w:rPr>
                <w:rFonts w:cs="Arial"/>
                <w:sz w:val="18"/>
                <w:szCs w:val="18"/>
              </w:rPr>
            </w:pPr>
          </w:p>
          <w:p w14:paraId="7B1CD725" w14:textId="4CC06582" w:rsidR="00F168DD" w:rsidRDefault="00F168DD" w:rsidP="00F168DD">
            <w:pPr>
              <w:rPr>
                <w:rFonts w:cs="Arial"/>
                <w:sz w:val="18"/>
                <w:szCs w:val="18"/>
              </w:rPr>
            </w:pPr>
            <w:r>
              <w:rPr>
                <w:rFonts w:cs="Arial"/>
                <w:sz w:val="18"/>
                <w:szCs w:val="18"/>
              </w:rPr>
              <w:t>Includes a</w:t>
            </w:r>
            <w:r w:rsidRPr="00F168DD">
              <w:rPr>
                <w:rFonts w:cs="Arial" w:hint="eastAsia"/>
                <w:sz w:val="18"/>
                <w:szCs w:val="18"/>
              </w:rPr>
              <w:t>dditional cost-effectiveness analyses for the whole population</w:t>
            </w:r>
            <w:r w:rsidR="00281E8B">
              <w:rPr>
                <w:rFonts w:cs="Arial"/>
                <w:sz w:val="18"/>
                <w:szCs w:val="18"/>
              </w:rPr>
              <w:t xml:space="preserve"> (regardless of PD-L1 status)</w:t>
            </w:r>
            <w:r w:rsidRPr="00F168DD">
              <w:rPr>
                <w:rFonts w:cs="Arial" w:hint="eastAsia"/>
                <w:sz w:val="18"/>
                <w:szCs w:val="18"/>
              </w:rPr>
              <w:t xml:space="preserve"> and PD-L1 </w:t>
            </w:r>
            <w:r w:rsidRPr="00956842">
              <w:rPr>
                <w:rFonts w:cs="Arial"/>
                <w:sz w:val="18"/>
                <w:szCs w:val="18"/>
              </w:rPr>
              <w:t>≥</w:t>
            </w:r>
            <w:r w:rsidRPr="00F168DD">
              <w:rPr>
                <w:rFonts w:cs="Arial" w:hint="eastAsia"/>
                <w:sz w:val="18"/>
                <w:szCs w:val="18"/>
              </w:rPr>
              <w:t xml:space="preserve"> 1%.</w:t>
            </w:r>
          </w:p>
          <w:p w14:paraId="5349768C" w14:textId="77777777" w:rsidR="00F168DD" w:rsidRDefault="00F168DD" w:rsidP="00F168DD">
            <w:pPr>
              <w:rPr>
                <w:rFonts w:cs="Arial"/>
                <w:sz w:val="18"/>
                <w:szCs w:val="18"/>
              </w:rPr>
            </w:pPr>
          </w:p>
          <w:p w14:paraId="330DDA2C" w14:textId="45688FE8" w:rsidR="00956842" w:rsidRPr="00956842" w:rsidRDefault="00F168DD" w:rsidP="00F168DD">
            <w:pPr>
              <w:rPr>
                <w:rFonts w:cs="Arial"/>
                <w:sz w:val="18"/>
                <w:szCs w:val="18"/>
              </w:rPr>
            </w:pPr>
            <w:r>
              <w:rPr>
                <w:rFonts w:cs="Arial"/>
                <w:sz w:val="18"/>
                <w:szCs w:val="18"/>
              </w:rPr>
              <w:t xml:space="preserve">Additional real-world evidence on clinical effectiveness data were provided </w:t>
            </w:r>
            <w:r w:rsidR="00F67794">
              <w:rPr>
                <w:rFonts w:cs="Arial"/>
                <w:sz w:val="18"/>
                <w:szCs w:val="18"/>
              </w:rPr>
              <w:t xml:space="preserve">for </w:t>
            </w:r>
            <w:r w:rsidR="00281E8B">
              <w:rPr>
                <w:rFonts w:cs="Arial"/>
                <w:sz w:val="18"/>
                <w:szCs w:val="18"/>
              </w:rPr>
              <w:t xml:space="preserve">PD-L1 &gt;1% and </w:t>
            </w:r>
            <w:r w:rsidRPr="00956842">
              <w:rPr>
                <w:rFonts w:cs="Arial"/>
                <w:sz w:val="18"/>
                <w:szCs w:val="18"/>
              </w:rPr>
              <w:t xml:space="preserve">PD-L1 &lt;1% </w:t>
            </w:r>
            <w:r w:rsidR="00F67794">
              <w:rPr>
                <w:rFonts w:cs="Arial"/>
                <w:sz w:val="18"/>
                <w:szCs w:val="18"/>
              </w:rPr>
              <w:t xml:space="preserve">patients </w:t>
            </w:r>
            <w:r w:rsidRPr="00956842">
              <w:rPr>
                <w:rFonts w:cs="Arial"/>
                <w:sz w:val="18"/>
                <w:szCs w:val="18"/>
              </w:rPr>
              <w:t xml:space="preserve">in the </w:t>
            </w:r>
            <w:r>
              <w:rPr>
                <w:rFonts w:cs="Arial"/>
                <w:sz w:val="18"/>
                <w:szCs w:val="18"/>
              </w:rPr>
              <w:t>associated letter</w:t>
            </w:r>
            <w:r w:rsidRPr="00956842">
              <w:rPr>
                <w:rFonts w:cs="Arial"/>
                <w:sz w:val="18"/>
                <w:szCs w:val="18"/>
              </w:rPr>
              <w:t>.</w:t>
            </w:r>
          </w:p>
        </w:tc>
        <w:tc>
          <w:tcPr>
            <w:tcW w:w="596" w:type="pct"/>
          </w:tcPr>
          <w:p w14:paraId="35778EC5" w14:textId="4B9D9F2E" w:rsidR="00956842" w:rsidRPr="00956842" w:rsidRDefault="007D1E23" w:rsidP="00956842">
            <w:pPr>
              <w:rPr>
                <w:rFonts w:cs="Arial"/>
                <w:sz w:val="18"/>
                <w:szCs w:val="18"/>
              </w:rPr>
            </w:pPr>
            <w:r>
              <w:rPr>
                <w:rFonts w:cs="Arial"/>
                <w:sz w:val="18"/>
                <w:szCs w:val="18"/>
              </w:rPr>
              <w:t>17th February 2020</w:t>
            </w:r>
          </w:p>
        </w:tc>
      </w:tr>
    </w:tbl>
    <w:p w14:paraId="3D28B8BC" w14:textId="77777777" w:rsidR="00956842" w:rsidRPr="005C064E" w:rsidRDefault="00956842" w:rsidP="00956842">
      <w:pPr>
        <w:jc w:val="both"/>
        <w:rPr>
          <w:rFonts w:cs="Times New Roman"/>
          <w:szCs w:val="20"/>
        </w:rPr>
      </w:pPr>
    </w:p>
    <w:sectPr w:rsidR="00956842" w:rsidRPr="005C064E" w:rsidSect="004B7CE3">
      <w:headerReference w:type="default" r:id="rId10"/>
      <w:headerReference w:type="first" r:id="rId11"/>
      <w:footerReference w:type="first" r:id="rId12"/>
      <w:pgSz w:w="11900" w:h="16820"/>
      <w:pgMar w:top="2552" w:right="680" w:bottom="2155" w:left="337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1C9C" w14:textId="77777777" w:rsidR="008516FD" w:rsidRDefault="008516FD" w:rsidP="003E27D3">
      <w:r>
        <w:separator/>
      </w:r>
    </w:p>
  </w:endnote>
  <w:endnote w:type="continuationSeparator" w:id="0">
    <w:p w14:paraId="436C4D5D" w14:textId="77777777" w:rsidR="008516FD" w:rsidRDefault="008516FD" w:rsidP="003E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681" w:tblpY="15191"/>
      <w:tblOverlap w:val="never"/>
      <w:tblW w:w="11004" w:type="dxa"/>
      <w:tblBorders>
        <w:top w:val="none" w:sz="0" w:space="0" w:color="auto"/>
        <w:bottom w:val="none" w:sz="0" w:space="0" w:color="auto"/>
        <w:insideH w:val="none" w:sz="0" w:space="0" w:color="auto"/>
      </w:tblBorders>
      <w:tblCellMar>
        <w:top w:w="0" w:type="dxa"/>
        <w:bottom w:w="0" w:type="dxa"/>
      </w:tblCellMar>
      <w:tblLook w:val="0600" w:firstRow="0" w:lastRow="0" w:firstColumn="0" w:lastColumn="0" w:noHBand="1" w:noVBand="1"/>
    </w:tblPr>
    <w:tblGrid>
      <w:gridCol w:w="2469"/>
      <w:gridCol w:w="227"/>
      <w:gridCol w:w="2468"/>
      <w:gridCol w:w="227"/>
      <w:gridCol w:w="2973"/>
      <w:gridCol w:w="2640"/>
    </w:tblGrid>
    <w:tr w:rsidR="00F94AA4" w14:paraId="631BF600" w14:textId="77777777" w:rsidTr="008D3832">
      <w:trPr>
        <w:trHeight w:hRule="exact" w:val="1008"/>
      </w:trPr>
      <w:tc>
        <w:tcPr>
          <w:tcW w:w="2469" w:type="dxa"/>
        </w:tcPr>
        <w:p w14:paraId="03AC1A57" w14:textId="77777777" w:rsidR="00F27A0C" w:rsidRPr="00496104" w:rsidRDefault="00F27A0C" w:rsidP="00F27A0C">
          <w:pPr>
            <w:pStyle w:val="FooterName"/>
            <w:rPr>
              <w:color w:val="595454"/>
            </w:rPr>
          </w:pPr>
          <w:r w:rsidRPr="00496104">
            <w:rPr>
              <w:color w:val="595454"/>
            </w:rPr>
            <w:t>Bristol-Myers Squibb Pharmaceuticals Limited</w:t>
          </w:r>
        </w:p>
        <w:p w14:paraId="631BF5F2" w14:textId="0034C667" w:rsidR="00F94AA4" w:rsidRDefault="00F94AA4" w:rsidP="00F16EEC">
          <w:pPr>
            <w:pStyle w:val="FooterInformation"/>
          </w:pPr>
        </w:p>
      </w:tc>
      <w:tc>
        <w:tcPr>
          <w:tcW w:w="227" w:type="dxa"/>
        </w:tcPr>
        <w:p w14:paraId="631BF5F3" w14:textId="77777777" w:rsidR="00F94AA4" w:rsidRDefault="00F94AA4" w:rsidP="00F16EEC">
          <w:pPr>
            <w:pStyle w:val="FooterInformation"/>
          </w:pPr>
        </w:p>
      </w:tc>
      <w:tc>
        <w:tcPr>
          <w:tcW w:w="2468" w:type="dxa"/>
        </w:tcPr>
        <w:p w14:paraId="257DF70A" w14:textId="77777777" w:rsidR="004A6EA2" w:rsidRDefault="004A6EA2" w:rsidP="004A6EA2">
          <w:pPr>
            <w:pStyle w:val="FooterInformation"/>
          </w:pPr>
          <w:r>
            <w:t>Uxbridge Business Park</w:t>
          </w:r>
        </w:p>
        <w:p w14:paraId="6C7AF839" w14:textId="77777777" w:rsidR="004A6EA2" w:rsidRDefault="004A6EA2" w:rsidP="004A6EA2">
          <w:pPr>
            <w:pStyle w:val="FooterInformation"/>
          </w:pPr>
          <w:r>
            <w:t>Sanderson Road</w:t>
          </w:r>
        </w:p>
        <w:p w14:paraId="37978952" w14:textId="77777777" w:rsidR="008D3832" w:rsidRDefault="004A6EA2" w:rsidP="004A6EA2">
          <w:pPr>
            <w:pStyle w:val="FooterInformation"/>
          </w:pPr>
          <w:r>
            <w:t>Uxbridge</w:t>
          </w:r>
          <w:r w:rsidR="008D3832">
            <w:t>, Middlesex</w:t>
          </w:r>
        </w:p>
        <w:p w14:paraId="6E24547C" w14:textId="77C78F92" w:rsidR="008D3832" w:rsidRDefault="004A6EA2" w:rsidP="004A6EA2">
          <w:pPr>
            <w:pStyle w:val="FooterInformation"/>
          </w:pPr>
          <w:r>
            <w:t>UB8 1</w:t>
          </w:r>
          <w:proofErr w:type="gramStart"/>
          <w:r>
            <w:t xml:space="preserve">DH </w:t>
          </w:r>
          <w:r w:rsidR="008D3832">
            <w:t xml:space="preserve"> United</w:t>
          </w:r>
          <w:proofErr w:type="gramEnd"/>
          <w:r w:rsidR="008D3832">
            <w:t xml:space="preserve"> Kingdom</w:t>
          </w:r>
        </w:p>
        <w:p w14:paraId="631BF5F8" w14:textId="20324EDA" w:rsidR="00F94AA4" w:rsidRDefault="00F94AA4" w:rsidP="004A6EA2">
          <w:pPr>
            <w:pStyle w:val="FooterInformation"/>
          </w:pPr>
          <w:r>
            <w:t>bms.com</w:t>
          </w:r>
          <w:r w:rsidR="00F27A0C">
            <w:t>/</w:t>
          </w:r>
          <w:proofErr w:type="spellStart"/>
          <w:r w:rsidR="00F27A0C">
            <w:t>gb</w:t>
          </w:r>
          <w:proofErr w:type="spellEnd"/>
        </w:p>
      </w:tc>
      <w:tc>
        <w:tcPr>
          <w:tcW w:w="227" w:type="dxa"/>
        </w:tcPr>
        <w:p w14:paraId="631BF5F9" w14:textId="77777777" w:rsidR="00F94AA4" w:rsidRDefault="00F94AA4" w:rsidP="00F16EEC">
          <w:pPr>
            <w:pStyle w:val="FooterInformation"/>
          </w:pPr>
        </w:p>
      </w:tc>
      <w:tc>
        <w:tcPr>
          <w:tcW w:w="2973" w:type="dxa"/>
        </w:tcPr>
        <w:p w14:paraId="6BDE8F34" w14:textId="7E32632F" w:rsidR="00F27A0C" w:rsidRDefault="00F27A0C" w:rsidP="00F27A0C">
          <w:pPr>
            <w:pStyle w:val="FooterInformation"/>
            <w:tabs>
              <w:tab w:val="clear" w:pos="547"/>
              <w:tab w:val="left" w:pos="566"/>
            </w:tabs>
          </w:pPr>
          <w:r>
            <w:t>Office</w:t>
          </w:r>
          <w:r>
            <w:tab/>
          </w:r>
          <w:r w:rsidR="008169C4">
            <w:t xml:space="preserve">+44 </w:t>
          </w:r>
          <w:r w:rsidR="008D3832">
            <w:t>(</w:t>
          </w:r>
          <w:r>
            <w:t>0</w:t>
          </w:r>
          <w:r w:rsidR="008D3832">
            <w:t>)</w:t>
          </w:r>
          <w:r>
            <w:t>1895 523000</w:t>
          </w:r>
        </w:p>
        <w:p w14:paraId="5428B88C" w14:textId="0E1E8CC5" w:rsidR="00F27A0C" w:rsidRDefault="00F27A0C" w:rsidP="00F27A0C">
          <w:pPr>
            <w:pStyle w:val="FooterInformation"/>
            <w:tabs>
              <w:tab w:val="clear" w:pos="547"/>
              <w:tab w:val="left" w:pos="566"/>
            </w:tabs>
          </w:pPr>
          <w:r>
            <w:t xml:space="preserve">Fax </w:t>
          </w:r>
          <w:r>
            <w:tab/>
          </w:r>
          <w:r w:rsidR="008169C4">
            <w:t xml:space="preserve">+44 </w:t>
          </w:r>
          <w:r w:rsidR="008D3832">
            <w:t>(</w:t>
          </w:r>
          <w:r>
            <w:t>0</w:t>
          </w:r>
          <w:r w:rsidR="008D3832">
            <w:t>)</w:t>
          </w:r>
          <w:r>
            <w:t>1895 523010</w:t>
          </w:r>
        </w:p>
        <w:p w14:paraId="393CBA09" w14:textId="26C2D203" w:rsidR="00F27A0C" w:rsidRDefault="00F27A0C" w:rsidP="00F27A0C">
          <w:pPr>
            <w:pStyle w:val="FooterInformation"/>
          </w:pPr>
          <w:r>
            <w:t xml:space="preserve">Medical Information </w:t>
          </w:r>
          <w:r w:rsidR="00763D90">
            <w:t>0</w:t>
          </w:r>
          <w:r>
            <w:t>800 731 1736</w:t>
          </w:r>
        </w:p>
        <w:p w14:paraId="631BF5FE" w14:textId="61E13730" w:rsidR="002E3FCA" w:rsidRDefault="00F27A0C" w:rsidP="00F27A0C">
          <w:pPr>
            <w:pStyle w:val="FooterInformation"/>
          </w:pPr>
          <w:r>
            <w:t xml:space="preserve">medical.information@bms.com </w:t>
          </w:r>
        </w:p>
      </w:tc>
      <w:tc>
        <w:tcPr>
          <w:tcW w:w="2640" w:type="dxa"/>
        </w:tcPr>
        <w:p w14:paraId="25BA421D" w14:textId="77777777" w:rsidR="00F94AA4" w:rsidRDefault="00F94AA4" w:rsidP="00F16EEC">
          <w:pPr>
            <w:pStyle w:val="FooterInformation"/>
          </w:pPr>
        </w:p>
        <w:p w14:paraId="631BF5FF" w14:textId="1830DDD0" w:rsidR="00F16EEC" w:rsidRDefault="00F16EEC" w:rsidP="00F27A0C">
          <w:pPr>
            <w:pStyle w:val="FooterInformation"/>
            <w:ind w:left="142" w:hanging="89"/>
          </w:pPr>
        </w:p>
      </w:tc>
    </w:tr>
    <w:tr w:rsidR="00F16EEC" w14:paraId="1CADCB55" w14:textId="77777777" w:rsidTr="008D3832">
      <w:trPr>
        <w:trHeight w:hRule="exact" w:val="283"/>
      </w:trPr>
      <w:tc>
        <w:tcPr>
          <w:tcW w:w="2469" w:type="dxa"/>
        </w:tcPr>
        <w:p w14:paraId="138074D7" w14:textId="77777777" w:rsidR="00F16EEC" w:rsidRDefault="00F16EEC" w:rsidP="00F16EEC">
          <w:pPr>
            <w:pStyle w:val="FooterName"/>
          </w:pPr>
        </w:p>
      </w:tc>
      <w:tc>
        <w:tcPr>
          <w:tcW w:w="227" w:type="dxa"/>
        </w:tcPr>
        <w:p w14:paraId="420F0744" w14:textId="77777777" w:rsidR="00F16EEC" w:rsidRDefault="00F16EEC" w:rsidP="00F16EEC">
          <w:pPr>
            <w:pStyle w:val="FooterInformation"/>
          </w:pPr>
        </w:p>
      </w:tc>
      <w:tc>
        <w:tcPr>
          <w:tcW w:w="8308" w:type="dxa"/>
          <w:gridSpan w:val="4"/>
        </w:tcPr>
        <w:p w14:paraId="73479862" w14:textId="4258018B" w:rsidR="00F16EEC" w:rsidRDefault="00F16EEC" w:rsidP="00F16EEC">
          <w:pPr>
            <w:pStyle w:val="FooterInformation"/>
          </w:pPr>
          <w:r w:rsidRPr="00ED56C5">
            <w:rPr>
              <w:noProof/>
              <w:sz w:val="13"/>
              <w:szCs w:val="13"/>
              <w:lang w:val="en-GB" w:eastAsia="en-GB"/>
            </w:rPr>
            <w:t xml:space="preserve">Registered In England 2487574. Registered Office: Uxbridge </w:t>
          </w:r>
          <w:r w:rsidRPr="00496104">
            <w:rPr>
              <w:noProof/>
              <w:sz w:val="13"/>
              <w:szCs w:val="13"/>
              <w:lang w:val="en-GB" w:eastAsia="en-GB"/>
            </w:rPr>
            <w:t xml:space="preserve">Business </w:t>
          </w:r>
          <w:r w:rsidRPr="00ED56C5">
            <w:rPr>
              <w:noProof/>
              <w:sz w:val="13"/>
              <w:szCs w:val="13"/>
              <w:lang w:val="en-GB" w:eastAsia="en-GB"/>
            </w:rPr>
            <w:t>Park, Sanderson Road, Uxbridge, Middlesex UB8 1DH</w:t>
          </w:r>
        </w:p>
      </w:tc>
    </w:tr>
  </w:tbl>
  <w:p w14:paraId="631BF601" w14:textId="77777777" w:rsidR="00101463" w:rsidRDefault="00283852" w:rsidP="008767EE">
    <w:pPr>
      <w:pStyle w:val="FooterInformation"/>
    </w:pPr>
    <w:r>
      <w:rPr>
        <w:noProof/>
        <w:lang w:val="en-GB" w:eastAsia="en-GB"/>
      </w:rPr>
      <mc:AlternateContent>
        <mc:Choice Requires="wps">
          <w:drawing>
            <wp:anchor distT="0" distB="0" distL="114300" distR="114300" simplePos="0" relativeHeight="251660288" behindDoc="0" locked="0" layoutInCell="1" allowOverlap="1" wp14:anchorId="631BF608" wp14:editId="631BF609">
              <wp:simplePos x="0" y="0"/>
              <wp:positionH relativeFrom="page">
                <wp:posOffset>431800</wp:posOffset>
              </wp:positionH>
              <wp:positionV relativeFrom="page">
                <wp:posOffset>9577070</wp:posOffset>
              </wp:positionV>
              <wp:extent cx="6696000" cy="0"/>
              <wp:effectExtent l="0" t="0" r="10160" b="12700"/>
              <wp:wrapNone/>
              <wp:docPr id="3" name="Footer Line"/>
              <wp:cNvGraphicFramePr/>
              <a:graphic xmlns:a="http://schemas.openxmlformats.org/drawingml/2006/main">
                <a:graphicData uri="http://schemas.microsoft.com/office/word/2010/wordprocessingShape">
                  <wps:wsp>
                    <wps:cNvCnPr/>
                    <wps:spPr>
                      <a:xfrm>
                        <a:off x="0" y="0"/>
                        <a:ext cx="6696000" cy="0"/>
                      </a:xfrm>
                      <a:prstGeom prst="line">
                        <a:avLst/>
                      </a:prstGeom>
                      <a:ln w="6350" cap="rnd">
                        <a:solidFill>
                          <a:srgbClr val="BE2BBB"/>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7A9D716C" id="Footer Line"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754.1pt" to="561.25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" strokecolor="#be2bbb" strokeweight=".5pt">
              <v:stroke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1FDD" w14:textId="77777777" w:rsidR="008516FD" w:rsidRDefault="008516FD" w:rsidP="003E27D3">
      <w:r>
        <w:separator/>
      </w:r>
    </w:p>
  </w:footnote>
  <w:footnote w:type="continuationSeparator" w:id="0">
    <w:p w14:paraId="382477F4" w14:textId="77777777" w:rsidR="008516FD" w:rsidRDefault="008516FD" w:rsidP="003E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5EE" w14:textId="77777777" w:rsidR="002E3FCA" w:rsidRDefault="002E3FCA" w:rsidP="002E3FCA">
    <w:pPr>
      <w:pStyle w:val="Header"/>
    </w:pPr>
    <w:r>
      <w:rPr>
        <w:noProof/>
        <w:lang w:val="en-GB" w:eastAsia="en-GB"/>
      </w:rPr>
      <mc:AlternateContent>
        <mc:Choice Requires="wps">
          <w:drawing>
            <wp:anchor distT="0" distB="0" distL="114300" distR="114300" simplePos="0" relativeHeight="251662336" behindDoc="0" locked="0" layoutInCell="1" allowOverlap="1" wp14:anchorId="631BF602" wp14:editId="631BF603">
              <wp:simplePos x="0" y="0"/>
              <wp:positionH relativeFrom="page">
                <wp:posOffset>431800</wp:posOffset>
              </wp:positionH>
              <wp:positionV relativeFrom="page">
                <wp:posOffset>1617388</wp:posOffset>
              </wp:positionV>
              <wp:extent cx="1566000" cy="540000"/>
              <wp:effectExtent l="0" t="0" r="8890" b="6350"/>
              <wp:wrapNone/>
              <wp:docPr id="4" name="Sidebar"/>
              <wp:cNvGraphicFramePr/>
              <a:graphic xmlns:a="http://schemas.openxmlformats.org/drawingml/2006/main">
                <a:graphicData uri="http://schemas.microsoft.com/office/word/2010/wordprocessingShape">
                  <wps:wsp>
                    <wps:cNvSpPr txBox="1"/>
                    <wps:spPr>
                      <a:xfrm>
                        <a:off x="0" y="0"/>
                        <a:ext cx="1566000" cy="540000"/>
                      </a:xfrm>
                      <a:prstGeom prst="rect">
                        <a:avLst/>
                      </a:prstGeom>
                      <a:noFill/>
                      <a:ln w="6350">
                        <a:noFill/>
                      </a:ln>
                    </wps:spPr>
                    <wps:txbx>
                      <w:txbxContent>
                        <w:p w14:paraId="631BF60C" w14:textId="592E313E" w:rsidR="002E3FCA" w:rsidRDefault="002E3FCA" w:rsidP="002E3FCA">
                          <w:pPr>
                            <w:rPr>
                              <w:noProof/>
                            </w:rPr>
                          </w:pPr>
                          <w:r>
                            <w:t xml:space="preserve">Page </w:t>
                          </w:r>
                          <w:r>
                            <w:fldChar w:fldCharType="begin"/>
                          </w:r>
                          <w:r>
                            <w:instrText xml:space="preserve"> PAGE </w:instrText>
                          </w:r>
                          <w:r>
                            <w:fldChar w:fldCharType="separate"/>
                          </w:r>
                          <w:r w:rsidR="006A2F31">
                            <w:rPr>
                              <w:noProof/>
                            </w:rPr>
                            <w:t>2</w:t>
                          </w:r>
                          <w:r>
                            <w:fldChar w:fldCharType="end"/>
                          </w:r>
                          <w:r>
                            <w:t>/</w:t>
                          </w:r>
                          <w:fldSimple w:instr=" NUMPAGES ">
                            <w:r w:rsidR="006A2F31">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F602" id="_x0000_t202" coordsize="21600,21600" o:spt="202" path="m,l,21600r21600,l21600,xe">
              <v:stroke joinstyle="miter"/>
              <v:path gradientshapeok="t" o:connecttype="rect"/>
            </v:shapetype>
            <v:shape id="Sidebar" o:spid="_x0000_s1026" type="#_x0000_t202" style="position:absolute;margin-left:34pt;margin-top:127.35pt;width:123.3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" filled="f" stroked="f" strokeweight=".5pt">
              <v:textbox inset="0,0,0,0">
                <w:txbxContent>
                  <w:p w14:paraId="631BF60C" w14:textId="592E313E" w:rsidR="002E3FCA" w:rsidRDefault="002E3FCA" w:rsidP="002E3FCA">
                    <w:pPr>
                      <w:rPr>
                        <w:noProof/>
                      </w:rPr>
                    </w:pPr>
                    <w:r>
                      <w:t xml:space="preserve">Page </w:t>
                    </w:r>
                    <w:r>
                      <w:fldChar w:fldCharType="begin"/>
                    </w:r>
                    <w:r>
                      <w:instrText xml:space="preserve"> PAGE </w:instrText>
                    </w:r>
                    <w:r>
                      <w:fldChar w:fldCharType="separate"/>
                    </w:r>
                    <w:r w:rsidR="006A2F31">
                      <w:rPr>
                        <w:noProof/>
                      </w:rPr>
                      <w:t>2</w:t>
                    </w:r>
                    <w:r>
                      <w:fldChar w:fldCharType="end"/>
                    </w:r>
                    <w:r>
                      <w:t>/</w:t>
                    </w:r>
                    <w:fldSimple w:instr=" NUMPAGES ">
                      <w:r w:rsidR="006A2F31">
                        <w:rPr>
                          <w:noProof/>
                        </w:rPr>
                        <w:t>5</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5EF" w14:textId="77777777" w:rsidR="003E27D3" w:rsidRPr="00101463" w:rsidRDefault="007E4044" w:rsidP="00E1728F">
    <w:pPr>
      <w:pStyle w:val="Header"/>
      <w:jc w:val="right"/>
    </w:pPr>
    <w:r w:rsidRPr="007B7D39">
      <w:rPr>
        <w:noProof/>
        <w:lang w:val="en-GB" w:eastAsia="en-GB"/>
      </w:rPr>
      <w:drawing>
        <wp:anchor distT="0" distB="0" distL="114300" distR="114300" simplePos="0" relativeHeight="251658240" behindDoc="0" locked="0" layoutInCell="1" allowOverlap="1" wp14:anchorId="631BF604" wp14:editId="631BF605">
          <wp:simplePos x="0" y="0"/>
          <wp:positionH relativeFrom="page">
            <wp:posOffset>257853</wp:posOffset>
          </wp:positionH>
          <wp:positionV relativeFrom="page">
            <wp:posOffset>167005</wp:posOffset>
          </wp:positionV>
          <wp:extent cx="2642235" cy="667385"/>
          <wp:effectExtent l="0" t="0" r="0" b="0"/>
          <wp:wrapNone/>
          <wp:docPr id="7" name="Bristol Myers Squibb" descr="Bristol Myers Squibb">
            <a:extLst xmlns:a="http://schemas.openxmlformats.org/drawingml/2006/main">
              <a:ext uri="{FF2B5EF4-FFF2-40B4-BE49-F238E27FC236}">
                <a16:creationId xmlns:a16="http://schemas.microsoft.com/office/drawing/2014/main" id="{B7697988-37C6-7C4A-AA57-C36971D11E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stol Myers Squibb" descr="Bristol Myers Squibb">
                    <a:extLst>
                      <a:ext uri="{FF2B5EF4-FFF2-40B4-BE49-F238E27FC236}">
                        <a16:creationId xmlns:a16="http://schemas.microsoft.com/office/drawing/2014/main" id="{B7697988-37C6-7C4A-AA57-C36971D11EE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black">
                  <a:xfrm>
                    <a:off x="0" y="0"/>
                    <a:ext cx="2642235" cy="667385"/>
                  </a:xfrm>
                  <a:prstGeom prst="rect">
                    <a:avLst/>
                  </a:prstGeom>
                  <a:noFill/>
                </pic:spPr>
              </pic:pic>
            </a:graphicData>
          </a:graphic>
          <wp14:sizeRelH relativeFrom="margin">
            <wp14:pctWidth>0</wp14:pctWidth>
          </wp14:sizeRelH>
          <wp14:sizeRelV relativeFrom="margin">
            <wp14:pctHeight>0</wp14:pctHeight>
          </wp14:sizeRelV>
        </wp:anchor>
      </w:drawing>
    </w:r>
    <w:r w:rsidR="008532DE">
      <w:rPr>
        <w:noProof/>
        <w:lang w:val="en-GB" w:eastAsia="en-GB"/>
      </w:rPr>
      <mc:AlternateContent>
        <mc:Choice Requires="wps">
          <w:drawing>
            <wp:anchor distT="0" distB="0" distL="114300" distR="114300" simplePos="0" relativeHeight="251659264" behindDoc="0" locked="0" layoutInCell="1" allowOverlap="1" wp14:anchorId="631BF606" wp14:editId="631BF607">
              <wp:simplePos x="0" y="0"/>
              <wp:positionH relativeFrom="page">
                <wp:posOffset>0</wp:posOffset>
              </wp:positionH>
              <wp:positionV relativeFrom="page">
                <wp:posOffset>3564255</wp:posOffset>
              </wp:positionV>
              <wp:extent cx="180000" cy="0"/>
              <wp:effectExtent l="12700" t="12700" r="23495" b="25400"/>
              <wp:wrapNone/>
              <wp:docPr id="1" name="Fold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80000" cy="0"/>
                      </a:xfrm>
                      <a:prstGeom prst="line">
                        <a:avLst/>
                      </a:prstGeom>
                      <a:ln w="6350" cap="sq">
                        <a:solidFill>
                          <a:srgbClr val="BE2BBB"/>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5A719339" id="Fold Line"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" strokecolor="#be2bbb" strokeweight=".5pt">
              <v:stroke endcap="square"/>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4AEF"/>
    <w:multiLevelType w:val="hybridMultilevel"/>
    <w:tmpl w:val="0D8A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80B9C"/>
    <w:multiLevelType w:val="multilevel"/>
    <w:tmpl w:val="CC7E72DE"/>
    <w:lvl w:ilvl="0">
      <w:start w:val="1"/>
      <w:numFmt w:val="bullet"/>
      <w:pStyle w:val="Bullets"/>
      <w:lvlText w:val="•"/>
      <w:lvlJc w:val="left"/>
      <w:pPr>
        <w:ind w:left="216" w:hanging="216"/>
      </w:pPr>
      <w:rPr>
        <w:rFonts w:ascii="Trebuchet MS" w:hAnsi="Trebuchet MS" w:hint="default"/>
      </w:rPr>
    </w:lvl>
    <w:lvl w:ilvl="1">
      <w:start w:val="1"/>
      <w:numFmt w:val="bullet"/>
      <w:lvlText w:val="—"/>
      <w:lvlJc w:val="left"/>
      <w:pPr>
        <w:ind w:left="432" w:hanging="216"/>
      </w:pPr>
      <w:rPr>
        <w:rFonts w:ascii="Trebuchet MS" w:hAnsi="Trebuchet MS" w:hint="default"/>
      </w:rPr>
    </w:lvl>
    <w:lvl w:ilvl="2">
      <w:start w:val="1"/>
      <w:numFmt w:val="bullet"/>
      <w:lvlText w:val="—"/>
      <w:lvlJc w:val="left"/>
      <w:pPr>
        <w:ind w:left="648" w:hanging="216"/>
      </w:pPr>
      <w:rPr>
        <w:rFonts w:ascii="Trebuchet MS" w:hAnsi="Trebuchet MS" w:hint="default"/>
      </w:rPr>
    </w:lvl>
    <w:lvl w:ilvl="3">
      <w:start w:val="1"/>
      <w:numFmt w:val="bullet"/>
      <w:lvlText w:val="—"/>
      <w:lvlJc w:val="left"/>
      <w:pPr>
        <w:ind w:left="864" w:hanging="216"/>
      </w:pPr>
      <w:rPr>
        <w:rFonts w:ascii="Trebuchet MS" w:hAnsi="Trebuchet MS" w:hint="default"/>
      </w:rPr>
    </w:lvl>
    <w:lvl w:ilvl="4">
      <w:start w:val="1"/>
      <w:numFmt w:val="bullet"/>
      <w:lvlText w:val="—"/>
      <w:lvlJc w:val="left"/>
      <w:pPr>
        <w:ind w:left="1080" w:hanging="216"/>
      </w:pPr>
      <w:rPr>
        <w:rFonts w:ascii="Trebuchet MS" w:hAnsi="Trebuchet MS" w:hint="default"/>
      </w:rPr>
    </w:lvl>
    <w:lvl w:ilvl="5">
      <w:start w:val="1"/>
      <w:numFmt w:val="bullet"/>
      <w:lvlText w:val="—"/>
      <w:lvlJc w:val="left"/>
      <w:pPr>
        <w:ind w:left="1296" w:hanging="216"/>
      </w:pPr>
      <w:rPr>
        <w:rFonts w:ascii="Trebuchet MS" w:hAnsi="Trebuchet MS" w:hint="default"/>
      </w:rPr>
    </w:lvl>
    <w:lvl w:ilvl="6">
      <w:start w:val="1"/>
      <w:numFmt w:val="bullet"/>
      <w:lvlText w:val="—"/>
      <w:lvlJc w:val="left"/>
      <w:pPr>
        <w:ind w:left="1512" w:hanging="216"/>
      </w:pPr>
      <w:rPr>
        <w:rFonts w:ascii="Trebuchet MS" w:hAnsi="Trebuchet MS" w:hint="default"/>
      </w:rPr>
    </w:lvl>
    <w:lvl w:ilvl="7">
      <w:start w:val="1"/>
      <w:numFmt w:val="bullet"/>
      <w:lvlText w:val="—"/>
      <w:lvlJc w:val="left"/>
      <w:pPr>
        <w:ind w:left="1728" w:hanging="216"/>
      </w:pPr>
      <w:rPr>
        <w:rFonts w:ascii="Trebuchet MS" w:hAnsi="Trebuchet MS" w:hint="default"/>
      </w:rPr>
    </w:lvl>
    <w:lvl w:ilvl="8">
      <w:start w:val="1"/>
      <w:numFmt w:val="bullet"/>
      <w:lvlText w:val="—"/>
      <w:lvlJc w:val="left"/>
      <w:pPr>
        <w:ind w:left="1944" w:hanging="216"/>
      </w:pPr>
      <w:rPr>
        <w:rFonts w:ascii="Trebuchet MS" w:hAnsi="Trebuchet MS" w:hint="default"/>
      </w:rPr>
    </w:lvl>
  </w:abstractNum>
  <w:abstractNum w:abstractNumId="2" w15:restartNumberingAfterBreak="0">
    <w:nsid w:val="1DCC4297"/>
    <w:multiLevelType w:val="hybridMultilevel"/>
    <w:tmpl w:val="A176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56F2C"/>
    <w:multiLevelType w:val="hybridMultilevel"/>
    <w:tmpl w:val="2E4A4C96"/>
    <w:lvl w:ilvl="0" w:tplc="59B88462">
      <w:numFmt w:val="bullet"/>
      <w:lvlText w:val="•"/>
      <w:lvlJc w:val="left"/>
      <w:pPr>
        <w:ind w:left="1080" w:hanging="720"/>
      </w:pPr>
      <w:rPr>
        <w:rFonts w:ascii="Trebuchet MS" w:eastAsiaTheme="minorEastAsia" w:hAnsi="Trebuchet MS"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1140"/>
    <w:multiLevelType w:val="hybridMultilevel"/>
    <w:tmpl w:val="132E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B3BC8"/>
    <w:multiLevelType w:val="multilevel"/>
    <w:tmpl w:val="2D30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492C33"/>
    <w:multiLevelType w:val="hybridMultilevel"/>
    <w:tmpl w:val="B13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1"/>
  </w:num>
  <w:num w:numId="5">
    <w:abstractNumId w:val="0"/>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0A"/>
    <w:rsid w:val="0000316E"/>
    <w:rsid w:val="000070BB"/>
    <w:rsid w:val="00007CAD"/>
    <w:rsid w:val="00014B60"/>
    <w:rsid w:val="000225CE"/>
    <w:rsid w:val="0002418D"/>
    <w:rsid w:val="000A684C"/>
    <w:rsid w:val="000C2FAF"/>
    <w:rsid w:val="000E1127"/>
    <w:rsid w:val="000E625D"/>
    <w:rsid w:val="00101463"/>
    <w:rsid w:val="00101721"/>
    <w:rsid w:val="001043B7"/>
    <w:rsid w:val="00117E9E"/>
    <w:rsid w:val="00136AF4"/>
    <w:rsid w:val="0014409D"/>
    <w:rsid w:val="0014447F"/>
    <w:rsid w:val="00167618"/>
    <w:rsid w:val="00180DE0"/>
    <w:rsid w:val="001A04CB"/>
    <w:rsid w:val="001C740E"/>
    <w:rsid w:val="001E10AC"/>
    <w:rsid w:val="00203389"/>
    <w:rsid w:val="00232300"/>
    <w:rsid w:val="002329AC"/>
    <w:rsid w:val="00244C1A"/>
    <w:rsid w:val="002642BC"/>
    <w:rsid w:val="0026576D"/>
    <w:rsid w:val="00281E8B"/>
    <w:rsid w:val="002836F1"/>
    <w:rsid w:val="00283852"/>
    <w:rsid w:val="00296AA1"/>
    <w:rsid w:val="002A509F"/>
    <w:rsid w:val="002E3FCA"/>
    <w:rsid w:val="003001E5"/>
    <w:rsid w:val="003076E3"/>
    <w:rsid w:val="00315FD9"/>
    <w:rsid w:val="00335108"/>
    <w:rsid w:val="0037464B"/>
    <w:rsid w:val="00385BDB"/>
    <w:rsid w:val="003A5419"/>
    <w:rsid w:val="003B3248"/>
    <w:rsid w:val="003D77DC"/>
    <w:rsid w:val="003E1179"/>
    <w:rsid w:val="003E27D3"/>
    <w:rsid w:val="003E45E2"/>
    <w:rsid w:val="003F21CF"/>
    <w:rsid w:val="003F6F11"/>
    <w:rsid w:val="003F7930"/>
    <w:rsid w:val="004005EE"/>
    <w:rsid w:val="00402754"/>
    <w:rsid w:val="00422150"/>
    <w:rsid w:val="004329E8"/>
    <w:rsid w:val="00465F74"/>
    <w:rsid w:val="00476C8E"/>
    <w:rsid w:val="00496104"/>
    <w:rsid w:val="004A6EA2"/>
    <w:rsid w:val="004A7DF2"/>
    <w:rsid w:val="004B1AA2"/>
    <w:rsid w:val="004B7CE3"/>
    <w:rsid w:val="004C755D"/>
    <w:rsid w:val="004D0C70"/>
    <w:rsid w:val="004E2E5D"/>
    <w:rsid w:val="004F5685"/>
    <w:rsid w:val="00505793"/>
    <w:rsid w:val="0051354B"/>
    <w:rsid w:val="0054646A"/>
    <w:rsid w:val="00551935"/>
    <w:rsid w:val="0056068D"/>
    <w:rsid w:val="00573482"/>
    <w:rsid w:val="005754ED"/>
    <w:rsid w:val="00585346"/>
    <w:rsid w:val="005A0E57"/>
    <w:rsid w:val="005B0024"/>
    <w:rsid w:val="005E44AD"/>
    <w:rsid w:val="005F3874"/>
    <w:rsid w:val="005F4E22"/>
    <w:rsid w:val="005F58BD"/>
    <w:rsid w:val="00600242"/>
    <w:rsid w:val="00601835"/>
    <w:rsid w:val="00601866"/>
    <w:rsid w:val="0061436B"/>
    <w:rsid w:val="00614794"/>
    <w:rsid w:val="00616373"/>
    <w:rsid w:val="0062340D"/>
    <w:rsid w:val="006407E3"/>
    <w:rsid w:val="00665B7E"/>
    <w:rsid w:val="00671410"/>
    <w:rsid w:val="0068001C"/>
    <w:rsid w:val="0069689B"/>
    <w:rsid w:val="006A2F31"/>
    <w:rsid w:val="006B7DE7"/>
    <w:rsid w:val="006C5500"/>
    <w:rsid w:val="006D5610"/>
    <w:rsid w:val="006F3AD4"/>
    <w:rsid w:val="006F4B2D"/>
    <w:rsid w:val="00715504"/>
    <w:rsid w:val="00737658"/>
    <w:rsid w:val="00742C05"/>
    <w:rsid w:val="0076072C"/>
    <w:rsid w:val="00763D90"/>
    <w:rsid w:val="00776743"/>
    <w:rsid w:val="00783A1F"/>
    <w:rsid w:val="00790470"/>
    <w:rsid w:val="00794000"/>
    <w:rsid w:val="007B7D39"/>
    <w:rsid w:val="007C573F"/>
    <w:rsid w:val="007C6663"/>
    <w:rsid w:val="007D0191"/>
    <w:rsid w:val="007D1E23"/>
    <w:rsid w:val="007D5967"/>
    <w:rsid w:val="007E1053"/>
    <w:rsid w:val="007E4044"/>
    <w:rsid w:val="007F1BCF"/>
    <w:rsid w:val="007F2FF6"/>
    <w:rsid w:val="007F4431"/>
    <w:rsid w:val="00814B14"/>
    <w:rsid w:val="008169C4"/>
    <w:rsid w:val="00825C29"/>
    <w:rsid w:val="00835EC1"/>
    <w:rsid w:val="00836C36"/>
    <w:rsid w:val="00837F01"/>
    <w:rsid w:val="00841319"/>
    <w:rsid w:val="0084575F"/>
    <w:rsid w:val="008516FD"/>
    <w:rsid w:val="008532DE"/>
    <w:rsid w:val="00875D1C"/>
    <w:rsid w:val="008767EE"/>
    <w:rsid w:val="00884DA8"/>
    <w:rsid w:val="008857EE"/>
    <w:rsid w:val="008A2311"/>
    <w:rsid w:val="008A45C7"/>
    <w:rsid w:val="008D3832"/>
    <w:rsid w:val="008D63C6"/>
    <w:rsid w:val="008E3049"/>
    <w:rsid w:val="008E5B2E"/>
    <w:rsid w:val="009051AF"/>
    <w:rsid w:val="009205B0"/>
    <w:rsid w:val="00920795"/>
    <w:rsid w:val="00956842"/>
    <w:rsid w:val="0097012C"/>
    <w:rsid w:val="00975168"/>
    <w:rsid w:val="00976217"/>
    <w:rsid w:val="009967E0"/>
    <w:rsid w:val="009A15BA"/>
    <w:rsid w:val="009B216F"/>
    <w:rsid w:val="009C207C"/>
    <w:rsid w:val="009C63E2"/>
    <w:rsid w:val="009E22E6"/>
    <w:rsid w:val="00A037B0"/>
    <w:rsid w:val="00A37234"/>
    <w:rsid w:val="00A37DBD"/>
    <w:rsid w:val="00A778CB"/>
    <w:rsid w:val="00A86E5C"/>
    <w:rsid w:val="00AA05F8"/>
    <w:rsid w:val="00AA1992"/>
    <w:rsid w:val="00AA34CD"/>
    <w:rsid w:val="00AE208F"/>
    <w:rsid w:val="00AF454F"/>
    <w:rsid w:val="00B378C0"/>
    <w:rsid w:val="00B8352E"/>
    <w:rsid w:val="00B92E4F"/>
    <w:rsid w:val="00B94D4D"/>
    <w:rsid w:val="00BA5FEA"/>
    <w:rsid w:val="00BD38C0"/>
    <w:rsid w:val="00BD72FC"/>
    <w:rsid w:val="00BE6C22"/>
    <w:rsid w:val="00C00122"/>
    <w:rsid w:val="00C05E3D"/>
    <w:rsid w:val="00C1616D"/>
    <w:rsid w:val="00C21100"/>
    <w:rsid w:val="00C3307B"/>
    <w:rsid w:val="00C34431"/>
    <w:rsid w:val="00C413EE"/>
    <w:rsid w:val="00C4165E"/>
    <w:rsid w:val="00C43539"/>
    <w:rsid w:val="00C518A6"/>
    <w:rsid w:val="00C5201E"/>
    <w:rsid w:val="00C62907"/>
    <w:rsid w:val="00C670F8"/>
    <w:rsid w:val="00C72660"/>
    <w:rsid w:val="00C81327"/>
    <w:rsid w:val="00C866C5"/>
    <w:rsid w:val="00C96A06"/>
    <w:rsid w:val="00CA33A3"/>
    <w:rsid w:val="00CA4A0A"/>
    <w:rsid w:val="00CB699E"/>
    <w:rsid w:val="00CD2F55"/>
    <w:rsid w:val="00CE4AA5"/>
    <w:rsid w:val="00D204E3"/>
    <w:rsid w:val="00D45586"/>
    <w:rsid w:val="00D604A8"/>
    <w:rsid w:val="00D966D5"/>
    <w:rsid w:val="00DC60D3"/>
    <w:rsid w:val="00DD466A"/>
    <w:rsid w:val="00DD7D45"/>
    <w:rsid w:val="00DF085D"/>
    <w:rsid w:val="00DF5F5A"/>
    <w:rsid w:val="00E13383"/>
    <w:rsid w:val="00E1728F"/>
    <w:rsid w:val="00E236BA"/>
    <w:rsid w:val="00E24112"/>
    <w:rsid w:val="00E51C0A"/>
    <w:rsid w:val="00E65071"/>
    <w:rsid w:val="00E65ED9"/>
    <w:rsid w:val="00E850B1"/>
    <w:rsid w:val="00E90EE0"/>
    <w:rsid w:val="00EC5B1D"/>
    <w:rsid w:val="00EE0487"/>
    <w:rsid w:val="00EF0010"/>
    <w:rsid w:val="00F01983"/>
    <w:rsid w:val="00F168DD"/>
    <w:rsid w:val="00F16EEC"/>
    <w:rsid w:val="00F21F7A"/>
    <w:rsid w:val="00F25A0D"/>
    <w:rsid w:val="00F26F5C"/>
    <w:rsid w:val="00F27A0C"/>
    <w:rsid w:val="00F356C5"/>
    <w:rsid w:val="00F57321"/>
    <w:rsid w:val="00F67794"/>
    <w:rsid w:val="00F9182C"/>
    <w:rsid w:val="00F929D3"/>
    <w:rsid w:val="00F94AA4"/>
    <w:rsid w:val="00FD229E"/>
    <w:rsid w:val="00FD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1BF5CF"/>
  <w15:chartTrackingRefBased/>
  <w15:docId w15:val="{3633E5B1-E95F-4FCD-937C-E9EFD15A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9B"/>
    <w:pPr>
      <w:spacing w:line="260" w:lineRule="atLeast"/>
    </w:pPr>
    <w:rPr>
      <w:rFonts w:eastAsiaTheme="minorEastAsia" w:cs="Times New Roman (Body CS)"/>
      <w:color w:val="595454"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A1"/>
  </w:style>
  <w:style w:type="character" w:customStyle="1" w:styleId="HeaderChar">
    <w:name w:val="Header Char"/>
    <w:basedOn w:val="DefaultParagraphFont"/>
    <w:link w:val="Header"/>
    <w:uiPriority w:val="99"/>
    <w:rsid w:val="00296AA1"/>
    <w:rPr>
      <w:rFonts w:eastAsiaTheme="minorEastAsia" w:cs="Times New Roman (Body CS)"/>
      <w:sz w:val="22"/>
    </w:rPr>
  </w:style>
  <w:style w:type="paragraph" w:styleId="Footer">
    <w:name w:val="footer"/>
    <w:basedOn w:val="Normal"/>
    <w:link w:val="FooterChar"/>
    <w:uiPriority w:val="99"/>
    <w:unhideWhenUsed/>
    <w:rsid w:val="00296AA1"/>
  </w:style>
  <w:style w:type="character" w:customStyle="1" w:styleId="FooterChar">
    <w:name w:val="Footer Char"/>
    <w:basedOn w:val="DefaultParagraphFont"/>
    <w:link w:val="Footer"/>
    <w:uiPriority w:val="99"/>
    <w:rsid w:val="00296AA1"/>
    <w:rPr>
      <w:rFonts w:eastAsiaTheme="minorEastAsia" w:cs="Times New Roman (Body CS)"/>
      <w:sz w:val="22"/>
    </w:rPr>
  </w:style>
  <w:style w:type="table" w:styleId="TableGrid">
    <w:name w:val="Table Grid"/>
    <w:basedOn w:val="TableNormal"/>
    <w:uiPriority w:val="59"/>
    <w:rsid w:val="00296AA1"/>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296AA1"/>
    <w:rPr>
      <w:color w:val="595454" w:themeColor="text1"/>
      <w:u w:val="none"/>
    </w:rPr>
  </w:style>
  <w:style w:type="paragraph" w:styleId="ListParagraph">
    <w:name w:val="List Paragraph"/>
    <w:basedOn w:val="Normal"/>
    <w:uiPriority w:val="9"/>
    <w:rsid w:val="00296AA1"/>
    <w:pPr>
      <w:ind w:left="720"/>
      <w:contextualSpacing/>
    </w:pPr>
  </w:style>
  <w:style w:type="character" w:styleId="FollowedHyperlink">
    <w:name w:val="FollowedHyperlink"/>
    <w:basedOn w:val="DefaultParagraphFont"/>
    <w:uiPriority w:val="99"/>
    <w:semiHidden/>
    <w:unhideWhenUsed/>
    <w:rsid w:val="00296AA1"/>
    <w:rPr>
      <w:color w:val="595454" w:themeColor="text1"/>
      <w:u w:val="none"/>
    </w:rPr>
  </w:style>
  <w:style w:type="paragraph" w:customStyle="1" w:styleId="FooterInformation">
    <w:name w:val="Footer Information"/>
    <w:basedOn w:val="Normal"/>
    <w:uiPriority w:val="9"/>
    <w:qFormat/>
    <w:rsid w:val="00101721"/>
    <w:pPr>
      <w:tabs>
        <w:tab w:val="left" w:pos="547"/>
      </w:tabs>
      <w:spacing w:line="190" w:lineRule="exact"/>
    </w:pPr>
    <w:rPr>
      <w:color w:val="595454"/>
      <w:sz w:val="16"/>
    </w:rPr>
  </w:style>
  <w:style w:type="paragraph" w:customStyle="1" w:styleId="FooterName">
    <w:name w:val="Footer Name"/>
    <w:basedOn w:val="Normal"/>
    <w:uiPriority w:val="9"/>
    <w:qFormat/>
    <w:rsid w:val="008A2311"/>
    <w:pPr>
      <w:spacing w:line="190" w:lineRule="exact"/>
    </w:pPr>
    <w:rPr>
      <w:b/>
      <w:color w:val="BE2BBB"/>
      <w:sz w:val="16"/>
    </w:rPr>
  </w:style>
  <w:style w:type="paragraph" w:customStyle="1" w:styleId="Bullets">
    <w:name w:val="Bullets"/>
    <w:basedOn w:val="ListParagraph"/>
    <w:uiPriority w:val="9"/>
    <w:qFormat/>
    <w:rsid w:val="0054646A"/>
    <w:pPr>
      <w:numPr>
        <w:numId w:val="4"/>
      </w:numPr>
    </w:pPr>
  </w:style>
  <w:style w:type="table" w:styleId="GridTable1Light">
    <w:name w:val="Grid Table 1 Light"/>
    <w:basedOn w:val="TableNormal"/>
    <w:uiPriority w:val="46"/>
    <w:rsid w:val="00956842"/>
    <w:tblPr>
      <w:tblStyleRowBandSize w:val="1"/>
      <w:tblStyleColBandSize w:val="1"/>
      <w:tblBorders>
        <w:top w:val="single" w:sz="4" w:space="0" w:color="BDB9B9" w:themeColor="text1" w:themeTint="66"/>
        <w:left w:val="single" w:sz="4" w:space="0" w:color="BDB9B9" w:themeColor="text1" w:themeTint="66"/>
        <w:bottom w:val="single" w:sz="4" w:space="0" w:color="BDB9B9" w:themeColor="text1" w:themeTint="66"/>
        <w:right w:val="single" w:sz="4" w:space="0" w:color="BDB9B9" w:themeColor="text1" w:themeTint="66"/>
        <w:insideH w:val="single" w:sz="4" w:space="0" w:color="BDB9B9" w:themeColor="text1" w:themeTint="66"/>
        <w:insideV w:val="single" w:sz="4" w:space="0" w:color="BDB9B9" w:themeColor="text1" w:themeTint="66"/>
      </w:tblBorders>
    </w:tblPr>
    <w:tblStylePr w:type="firstRow">
      <w:rPr>
        <w:b/>
        <w:bCs/>
      </w:rPr>
      <w:tblPr/>
      <w:tcPr>
        <w:tcBorders>
          <w:bottom w:val="single" w:sz="12" w:space="0" w:color="9C9696" w:themeColor="text1" w:themeTint="99"/>
        </w:tcBorders>
      </w:tcPr>
    </w:tblStylePr>
    <w:tblStylePr w:type="lastRow">
      <w:rPr>
        <w:b/>
        <w:bCs/>
      </w:rPr>
      <w:tblPr/>
      <w:tcPr>
        <w:tcBorders>
          <w:top w:val="double" w:sz="2" w:space="0" w:color="9C969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568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56842"/>
    <w:pPr>
      <w:spacing w:after="200" w:line="240" w:lineRule="auto"/>
    </w:pPr>
    <w:rPr>
      <w:i/>
      <w:iCs/>
      <w:color w:val="59545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oneye\AppData\Local\Microsoft\Windows\INetCache\IE\AD0COKQQ\BMS%20A4%20Digital%20Letterhead%2024Feb2020.dotx" TargetMode="External"/></Relationships>
</file>

<file path=word/theme/theme1.xml><?xml version="1.0" encoding="utf-8"?>
<a:theme xmlns:a="http://schemas.openxmlformats.org/drawingml/2006/main" name="Bristol Myers Squibb">
  <a:themeElements>
    <a:clrScheme name="Bristol Myers Squibb Colors">
      <a:dk1>
        <a:srgbClr val="595454"/>
      </a:dk1>
      <a:lt1>
        <a:srgbClr val="FFFFFF"/>
      </a:lt1>
      <a:dk2>
        <a:srgbClr val="595454"/>
      </a:dk2>
      <a:lt2>
        <a:srgbClr val="EEE7E7"/>
      </a:lt2>
      <a:accent1>
        <a:srgbClr val="595454"/>
      </a:accent1>
      <a:accent2>
        <a:srgbClr val="FFD186"/>
      </a:accent2>
      <a:accent3>
        <a:srgbClr val="52E7BC"/>
      </a:accent3>
      <a:accent4>
        <a:srgbClr val="A69F9F"/>
      </a:accent4>
      <a:accent5>
        <a:srgbClr val="33D6F1"/>
      </a:accent5>
      <a:accent6>
        <a:srgbClr val="FDA97D"/>
      </a:accent6>
      <a:hlink>
        <a:srgbClr val="595454"/>
      </a:hlink>
      <a:folHlink>
        <a:srgbClr val="595454"/>
      </a:folHlink>
    </a:clrScheme>
    <a:fontScheme name="Bristol Myers Squibb Fonts">
      <a:majorFont>
        <a:latin typeface="Trebuchet MS"/>
        <a:ea typeface=""/>
        <a:cs typeface=""/>
      </a:majorFont>
      <a:minorFont>
        <a:latin typeface="Trebuchet MS"/>
        <a:ea typeface=""/>
        <a:cs typeface=""/>
      </a:minorFont>
    </a:fontScheme>
    <a:fmtScheme name="Bristol Myers Squibb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2000"/>
        </a:defPPr>
      </a:lstStyle>
      <a:style>
        <a:lnRef idx="0">
          <a:schemeClr val="accent1"/>
        </a:lnRef>
        <a:fillRef idx="1">
          <a:schemeClr val="accent1"/>
        </a:fillRef>
        <a:effectRef idx="0">
          <a:srgbClr val="000000"/>
        </a:effectRef>
        <a:fontRef idx="minor">
          <a:schemeClr val="lt1"/>
        </a:fontRef>
      </a:style>
    </a:spDef>
    <a:lnDef>
      <a:spPr>
        <a:ln w="12700" cap="sq"/>
      </a:spPr>
      <a:bodyPr/>
      <a:lstStyle/>
      <a:style>
        <a:lnRef idx="1">
          <a:schemeClr val="accent1"/>
        </a:lnRef>
        <a:fillRef idx="0">
          <a:schemeClr val="accent1"/>
        </a:fillRef>
        <a:effectRef idx="0">
          <a:srgbClr val="000000"/>
        </a:effectRef>
        <a:fontRef idx="minor">
          <a:schemeClr val="lt1"/>
        </a:fontRef>
      </a:style>
    </a:lnDef>
  </a:objectDefaults>
  <a:extraClrSchemeLst/>
  <a:custClrLst>
    <a:custClr name="BMS Purple">
      <a:srgbClr val="BE2BBB"/>
    </a:custClr>
    <a:custClr name="Dark Gray">
      <a:srgbClr val="595454"/>
    </a:custClr>
    <a:custClr name="Gray">
      <a:srgbClr val="A69F9F"/>
    </a:custClr>
    <a:custClr name="Light Gray">
      <a:srgbClr val="EEE7E7"/>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mber">
      <a:srgbClr val="FFD186"/>
    </a:custClr>
    <a:custClr name="Peach">
      <a:srgbClr val="FDA97D"/>
    </a:custClr>
    <a:custClr name="Olive">
      <a:srgbClr val="CB987B"/>
    </a:custClr>
    <a:custClr name="Almond">
      <a:srgbClr val="AE7A65"/>
    </a:custClr>
    <a:custClr name="Sienna">
      <a:srgbClr val="772A28"/>
    </a:custClr>
    <a:custClr name="Chocolate">
      <a:srgbClr val="432319"/>
    </a:custClr>
    <a:custClr name="Mint">
      <a:srgbClr val="52E7BC"/>
    </a:custClr>
    <a:custClr name="Aqua">
      <a:srgbClr val="33D6F1"/>
    </a:custClr>
    <a:custClr name="White">
      <a:srgbClr val="FFFFFF"/>
    </a:custClr>
    <a:custClr name="Whit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244AD7F81A74BB1F6BE7CC90FA8E8" ma:contentTypeVersion="13" ma:contentTypeDescription="Create a new document." ma:contentTypeScope="" ma:versionID="19a3327d502874ff1c43a4351016a228">
  <xsd:schema xmlns:xsd="http://www.w3.org/2001/XMLSchema" xmlns:xs="http://www.w3.org/2001/XMLSchema" xmlns:p="http://schemas.microsoft.com/office/2006/metadata/properties" xmlns:ns3="7e084402-7dce-43c9-86cb-e5c53132b20e" xmlns:ns4="a404bc0d-6635-4632-b9f4-ce7643015644" targetNamespace="http://schemas.microsoft.com/office/2006/metadata/properties" ma:root="true" ma:fieldsID="42781f674f475e1115ad0f9295e541be" ns3:_="" ns4:_="">
    <xsd:import namespace="7e084402-7dce-43c9-86cb-e5c53132b20e"/>
    <xsd:import namespace="a404bc0d-6635-4632-b9f4-ce76430156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84402-7dce-43c9-86cb-e5c53132b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4bc0d-6635-4632-b9f4-ce76430156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1082C-5A18-4B79-8253-C673AC307204}">
  <ds:schemaRefs>
    <ds:schemaRef ds:uri="http://schemas.microsoft.com/sharepoint/v3/contenttype/forms"/>
  </ds:schemaRefs>
</ds:datastoreItem>
</file>

<file path=customXml/itemProps2.xml><?xml version="1.0" encoding="utf-8"?>
<ds:datastoreItem xmlns:ds="http://schemas.openxmlformats.org/officeDocument/2006/customXml" ds:itemID="{DB95FD27-9CB6-4B98-B79D-D1333A2DE675}">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a404bc0d-6635-4632-b9f4-ce7643015644"/>
    <ds:schemaRef ds:uri="7e084402-7dce-43c9-86cb-e5c53132b20e"/>
    <ds:schemaRef ds:uri="http://www.w3.org/XML/1998/namespace"/>
  </ds:schemaRefs>
</ds:datastoreItem>
</file>

<file path=customXml/itemProps3.xml><?xml version="1.0" encoding="utf-8"?>
<ds:datastoreItem xmlns:ds="http://schemas.openxmlformats.org/officeDocument/2006/customXml" ds:itemID="{DC24C1B6-7371-4E62-99B4-A471E96A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84402-7dce-43c9-86cb-e5c53132b20e"/>
    <ds:schemaRef ds:uri="a404bc0d-6635-4632-b9f4-ce764301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BMS A4 Digital Letterhead 24Feb2020</Template>
  <TotalTime>1</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Bristol Myers Squibb</vt:lpstr>
    </vt:vector>
  </TitlesOfParts>
  <Manager/>
  <Company>Bristol Myers Squibb</Company>
  <LinksUpToDate>false</LinksUpToDate>
  <CharactersWithSpaces>10044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Myers Squibb</dc:title>
  <dc:subject/>
  <dc:creator>Moloney, Elaine</dc:creator>
  <cp:keywords/>
  <dc:description/>
  <cp:lastModifiedBy>Catherine Pank</cp:lastModifiedBy>
  <cp:revision>2</cp:revision>
  <cp:lastPrinted>2020-02-18T18:27:00Z</cp:lastPrinted>
  <dcterms:created xsi:type="dcterms:W3CDTF">2020-11-16T09:17:00Z</dcterms:created>
  <dcterms:modified xsi:type="dcterms:W3CDTF">2020-11-16T09:17:00Z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0x010100BA8244AD7F81A74BB1F6BE7CC90FA8E8</vt:lpwstr>
  </property>
</Properties>
</file>