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rsidR="00C24D6E" w:rsidRDefault="00C24D6E" w:rsidP="00C24D6E">
      <w:pPr>
        <w:pStyle w:val="Header"/>
        <w:jc w:val="center"/>
        <w:rPr>
          <w:b/>
          <w:bCs/>
        </w:rPr>
      </w:pPr>
    </w:p>
    <w:p w:rsidR="00C24D6E" w:rsidRDefault="00C24D6E" w:rsidP="00C24D6E">
      <w:pPr>
        <w:pStyle w:val="Header"/>
        <w:jc w:val="center"/>
        <w:rPr>
          <w:b/>
          <w:bCs/>
        </w:rPr>
      </w:pPr>
      <w:r w:rsidRPr="00014B9F">
        <w:rPr>
          <w:b/>
          <w:bCs/>
        </w:rPr>
        <w:t>Single</w:t>
      </w:r>
      <w:r w:rsidR="00014B9F">
        <w:rPr>
          <w:b/>
          <w:bCs/>
        </w:rPr>
        <w:t xml:space="preserve"> </w:t>
      </w:r>
      <w:r w:rsidRPr="00014B9F">
        <w:rPr>
          <w:b/>
          <w:bCs/>
        </w:rPr>
        <w:t>T</w:t>
      </w:r>
      <w:r>
        <w:rPr>
          <w:b/>
          <w:bCs/>
        </w:rPr>
        <w:t>echnology Appraisal (STA)</w:t>
      </w:r>
    </w:p>
    <w:p w:rsidR="00C24D6E" w:rsidRDefault="00014B9F" w:rsidP="00C24D6E">
      <w:pPr>
        <w:pStyle w:val="Header"/>
        <w:spacing w:before="240"/>
        <w:jc w:val="center"/>
        <w:rPr>
          <w:b/>
          <w:bCs/>
        </w:rPr>
      </w:pPr>
      <w:r w:rsidRPr="00014B9F">
        <w:rPr>
          <w:b/>
          <w:bCs/>
        </w:rPr>
        <w:t>Abiraterone for treating newly diagnosed</w:t>
      </w:r>
      <w:r w:rsidR="00105F3A">
        <w:rPr>
          <w:b/>
          <w:bCs/>
        </w:rPr>
        <w:t xml:space="preserve"> high risk</w:t>
      </w:r>
      <w:bookmarkStart w:id="0" w:name="_GoBack"/>
      <w:bookmarkEnd w:id="0"/>
      <w:r w:rsidRPr="00014B9F">
        <w:rPr>
          <w:b/>
          <w:bCs/>
        </w:rPr>
        <w:t xml:space="preserve"> metastatic hormone-naive prostate cancer</w:t>
      </w:r>
    </w:p>
    <w:p w:rsidR="00C24D6E" w:rsidRDefault="00C24D6E" w:rsidP="00C24D6E">
      <w:pPr>
        <w:widowControl w:val="0"/>
        <w:jc w:val="center"/>
        <w:rPr>
          <w:b/>
          <w:bCs/>
        </w:rPr>
      </w:pPr>
    </w:p>
    <w:p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p>
    <w:p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rsidR="00C24D6E" w:rsidRPr="006C542D" w:rsidRDefault="00C24D6E" w:rsidP="00C24D6E">
      <w:pPr>
        <w:keepNext/>
        <w:spacing w:before="240" w:after="120"/>
        <w:rPr>
          <w:b/>
        </w:rPr>
      </w:pPr>
      <w:r w:rsidRPr="006C542D">
        <w:rPr>
          <w:b/>
        </w:rPr>
        <w:t>Comment 1: the draft remit</w:t>
      </w:r>
    </w:p>
    <w:tbl>
      <w:tblPr>
        <w:tblStyle w:val="TableGrid"/>
        <w:tblW w:w="0" w:type="auto"/>
        <w:tblLayout w:type="fixed"/>
        <w:tblLook w:val="04A0" w:firstRow="1" w:lastRow="0" w:firstColumn="1" w:lastColumn="0" w:noHBand="0" w:noVBand="1"/>
      </w:tblPr>
      <w:tblGrid>
        <w:gridCol w:w="1951"/>
        <w:gridCol w:w="1843"/>
        <w:gridCol w:w="7796"/>
        <w:gridCol w:w="2584"/>
      </w:tblGrid>
      <w:tr w:rsidR="00CB2688" w:rsidTr="00656021">
        <w:trPr>
          <w:trHeight w:val="590"/>
          <w:tblHeader/>
        </w:trPr>
        <w:tc>
          <w:tcPr>
            <w:tcW w:w="1951" w:type="dxa"/>
            <w:tcBorders>
              <w:bottom w:val="single" w:sz="12" w:space="0" w:color="auto"/>
            </w:tcBorders>
            <w:shd w:val="clear" w:color="auto" w:fill="D9D9D9" w:themeFill="background1" w:themeFillShade="D9"/>
          </w:tcPr>
          <w:p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rsidR="003724F8" w:rsidRPr="003724F8" w:rsidRDefault="003724F8" w:rsidP="00181A4A">
            <w:pPr>
              <w:pStyle w:val="Title"/>
              <w:rPr>
                <w:sz w:val="22"/>
                <w:szCs w:val="22"/>
              </w:rPr>
            </w:pPr>
            <w:r w:rsidRPr="003724F8">
              <w:rPr>
                <w:sz w:val="22"/>
                <w:szCs w:val="22"/>
              </w:rPr>
              <w:t>Action</w:t>
            </w:r>
          </w:p>
        </w:tc>
      </w:tr>
      <w:tr w:rsidR="00656021" w:rsidTr="00656021">
        <w:tc>
          <w:tcPr>
            <w:tcW w:w="1951" w:type="dxa"/>
            <w:vMerge w:val="restart"/>
            <w:tcBorders>
              <w:top w:val="single" w:sz="12" w:space="0" w:color="auto"/>
            </w:tcBorders>
          </w:tcPr>
          <w:p w:rsidR="00656021" w:rsidRPr="00EC0E27" w:rsidRDefault="00656021" w:rsidP="00EC0E27">
            <w:pPr>
              <w:pStyle w:val="Title"/>
              <w:jc w:val="left"/>
              <w:rPr>
                <w:b w:val="0"/>
                <w:sz w:val="22"/>
                <w:szCs w:val="22"/>
              </w:rPr>
            </w:pPr>
            <w:r w:rsidRPr="00EC0E27">
              <w:rPr>
                <w:b w:val="0"/>
                <w:sz w:val="22"/>
                <w:szCs w:val="22"/>
              </w:rPr>
              <w:t>Appropriateness</w:t>
            </w:r>
          </w:p>
        </w:tc>
        <w:tc>
          <w:tcPr>
            <w:tcW w:w="1843" w:type="dxa"/>
            <w:tcBorders>
              <w:top w:val="single" w:sz="12" w:space="0" w:color="auto"/>
            </w:tcBorders>
          </w:tcPr>
          <w:p w:rsidR="00656021" w:rsidRPr="00584846" w:rsidRDefault="00424CBB" w:rsidP="00584846">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584846" w:rsidRDefault="00424CBB" w:rsidP="00584846">
            <w:pPr>
              <w:pStyle w:val="Title"/>
              <w:jc w:val="left"/>
              <w:rPr>
                <w:b w:val="0"/>
                <w:sz w:val="22"/>
                <w:szCs w:val="22"/>
              </w:rPr>
            </w:pPr>
            <w:r>
              <w:rPr>
                <w:b w:val="0"/>
                <w:sz w:val="22"/>
                <w:szCs w:val="22"/>
              </w:rPr>
              <w:t>Yes</w:t>
            </w:r>
          </w:p>
        </w:tc>
        <w:tc>
          <w:tcPr>
            <w:tcW w:w="2584" w:type="dxa"/>
            <w:tcBorders>
              <w:top w:val="single" w:sz="12" w:space="0" w:color="auto"/>
            </w:tcBorders>
          </w:tcPr>
          <w:p w:rsidR="00656021" w:rsidRPr="00584846" w:rsidRDefault="00014B9F" w:rsidP="00584846">
            <w:pPr>
              <w:pStyle w:val="Title"/>
              <w:jc w:val="left"/>
              <w:rPr>
                <w:b w:val="0"/>
                <w:sz w:val="22"/>
                <w:szCs w:val="22"/>
              </w:rPr>
            </w:pPr>
            <w:r>
              <w:rPr>
                <w:b w:val="0"/>
                <w:sz w:val="22"/>
                <w:szCs w:val="22"/>
              </w:rPr>
              <w:t>Comment noted</w:t>
            </w:r>
          </w:p>
        </w:tc>
      </w:tr>
      <w:tr w:rsidR="00656021" w:rsidTr="00EC0E27">
        <w:tc>
          <w:tcPr>
            <w:tcW w:w="1951" w:type="dxa"/>
            <w:vMerge/>
          </w:tcPr>
          <w:p w:rsidR="00656021" w:rsidRPr="00EC0E27" w:rsidRDefault="00656021" w:rsidP="00EC0E27">
            <w:pPr>
              <w:pStyle w:val="Title"/>
              <w:jc w:val="left"/>
              <w:rPr>
                <w:b w:val="0"/>
                <w:sz w:val="22"/>
                <w:szCs w:val="22"/>
              </w:rPr>
            </w:pPr>
          </w:p>
        </w:tc>
        <w:tc>
          <w:tcPr>
            <w:tcW w:w="1843" w:type="dxa"/>
          </w:tcPr>
          <w:p w:rsidR="00656021" w:rsidRPr="00584846" w:rsidRDefault="00424CBB" w:rsidP="00584846">
            <w:pPr>
              <w:pStyle w:val="Title"/>
              <w:jc w:val="left"/>
              <w:rPr>
                <w:b w:val="0"/>
                <w:sz w:val="22"/>
                <w:szCs w:val="22"/>
              </w:rPr>
            </w:pPr>
            <w:r>
              <w:rPr>
                <w:b w:val="0"/>
                <w:sz w:val="22"/>
                <w:szCs w:val="22"/>
              </w:rPr>
              <w:t>Janssen</w:t>
            </w:r>
          </w:p>
        </w:tc>
        <w:tc>
          <w:tcPr>
            <w:tcW w:w="7796" w:type="dxa"/>
          </w:tcPr>
          <w:p w:rsidR="00656021" w:rsidRPr="00584846" w:rsidRDefault="00424CBB" w:rsidP="00584846">
            <w:pPr>
              <w:pStyle w:val="Title"/>
              <w:jc w:val="left"/>
              <w:rPr>
                <w:b w:val="0"/>
                <w:sz w:val="22"/>
                <w:szCs w:val="22"/>
              </w:rPr>
            </w:pPr>
            <w:r w:rsidRPr="00424CBB">
              <w:rPr>
                <w:b w:val="0"/>
                <w:sz w:val="22"/>
                <w:szCs w:val="22"/>
              </w:rPr>
              <w:t>Janssen believes this is an appropriate topic to refer to NICE for appraisal</w:t>
            </w:r>
          </w:p>
        </w:tc>
        <w:tc>
          <w:tcPr>
            <w:tcW w:w="2584" w:type="dxa"/>
          </w:tcPr>
          <w:p w:rsidR="00656021" w:rsidRPr="00584846" w:rsidRDefault="00014B9F" w:rsidP="00584846">
            <w:pPr>
              <w:pStyle w:val="Title"/>
              <w:jc w:val="left"/>
              <w:rPr>
                <w:b w:val="0"/>
                <w:sz w:val="22"/>
                <w:szCs w:val="22"/>
              </w:rPr>
            </w:pPr>
            <w:r>
              <w:rPr>
                <w:b w:val="0"/>
                <w:sz w:val="22"/>
                <w:szCs w:val="22"/>
              </w:rPr>
              <w:t>Comment noted</w:t>
            </w:r>
          </w:p>
        </w:tc>
      </w:tr>
      <w:tr w:rsidR="00480603" w:rsidTr="00656021">
        <w:trPr>
          <w:trHeight w:val="270"/>
        </w:trPr>
        <w:tc>
          <w:tcPr>
            <w:tcW w:w="1951" w:type="dxa"/>
            <w:vMerge w:val="restart"/>
            <w:tcBorders>
              <w:top w:val="single" w:sz="12" w:space="0" w:color="auto"/>
            </w:tcBorders>
          </w:tcPr>
          <w:p w:rsidR="00480603" w:rsidRPr="00EC0E27" w:rsidRDefault="00480603" w:rsidP="00EC0E27">
            <w:pPr>
              <w:pStyle w:val="Title"/>
              <w:jc w:val="left"/>
              <w:rPr>
                <w:b w:val="0"/>
                <w:sz w:val="22"/>
                <w:szCs w:val="22"/>
              </w:rPr>
            </w:pPr>
            <w:r w:rsidRPr="00EC0E27">
              <w:rPr>
                <w:b w:val="0"/>
                <w:sz w:val="22"/>
                <w:szCs w:val="22"/>
              </w:rPr>
              <w:t>Wording</w:t>
            </w:r>
          </w:p>
        </w:tc>
        <w:tc>
          <w:tcPr>
            <w:tcW w:w="1843" w:type="dxa"/>
            <w:tcBorders>
              <w:top w:val="single" w:sz="12" w:space="0" w:color="auto"/>
            </w:tcBorders>
          </w:tcPr>
          <w:p w:rsidR="00480603" w:rsidRPr="00584846" w:rsidRDefault="00424CBB" w:rsidP="00584846">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480603" w:rsidRPr="00584846" w:rsidRDefault="00424CBB" w:rsidP="00584846">
            <w:pPr>
              <w:pStyle w:val="Title"/>
              <w:jc w:val="left"/>
              <w:rPr>
                <w:b w:val="0"/>
                <w:sz w:val="22"/>
                <w:szCs w:val="22"/>
              </w:rPr>
            </w:pPr>
            <w:r>
              <w:rPr>
                <w:b w:val="0"/>
                <w:sz w:val="22"/>
                <w:szCs w:val="22"/>
              </w:rPr>
              <w:t>Yes</w:t>
            </w:r>
          </w:p>
        </w:tc>
        <w:tc>
          <w:tcPr>
            <w:tcW w:w="2584" w:type="dxa"/>
            <w:tcBorders>
              <w:top w:val="single" w:sz="12" w:space="0" w:color="auto"/>
            </w:tcBorders>
          </w:tcPr>
          <w:p w:rsidR="00480603" w:rsidRPr="00584846" w:rsidRDefault="006D5D9A" w:rsidP="00584846">
            <w:pPr>
              <w:pStyle w:val="Title"/>
              <w:jc w:val="left"/>
              <w:rPr>
                <w:b w:val="0"/>
                <w:sz w:val="22"/>
                <w:szCs w:val="22"/>
              </w:rPr>
            </w:pPr>
            <w:r>
              <w:rPr>
                <w:b w:val="0"/>
                <w:sz w:val="22"/>
                <w:szCs w:val="22"/>
              </w:rPr>
              <w:t>Comment noted</w:t>
            </w:r>
          </w:p>
        </w:tc>
      </w:tr>
      <w:tr w:rsidR="00480603" w:rsidRPr="003724F8" w:rsidTr="00EC0E27">
        <w:tc>
          <w:tcPr>
            <w:tcW w:w="1951" w:type="dxa"/>
            <w:vMerge/>
          </w:tcPr>
          <w:p w:rsidR="00480603" w:rsidRPr="00EC0E27" w:rsidRDefault="00480603" w:rsidP="00EC0E27">
            <w:pPr>
              <w:pStyle w:val="Title"/>
              <w:jc w:val="left"/>
              <w:rPr>
                <w:b w:val="0"/>
                <w:sz w:val="22"/>
                <w:szCs w:val="22"/>
              </w:rPr>
            </w:pPr>
          </w:p>
        </w:tc>
        <w:tc>
          <w:tcPr>
            <w:tcW w:w="1843" w:type="dxa"/>
          </w:tcPr>
          <w:p w:rsidR="00480603" w:rsidRPr="00584846" w:rsidRDefault="006E4434" w:rsidP="00584846">
            <w:pPr>
              <w:pStyle w:val="Title"/>
              <w:jc w:val="left"/>
              <w:rPr>
                <w:b w:val="0"/>
                <w:sz w:val="22"/>
                <w:szCs w:val="22"/>
              </w:rPr>
            </w:pPr>
            <w:r>
              <w:rPr>
                <w:b w:val="0"/>
                <w:sz w:val="22"/>
                <w:szCs w:val="22"/>
              </w:rPr>
              <w:t>Janssen</w:t>
            </w:r>
          </w:p>
        </w:tc>
        <w:tc>
          <w:tcPr>
            <w:tcW w:w="7796" w:type="dxa"/>
          </w:tcPr>
          <w:p w:rsidR="006E4434" w:rsidRPr="006E4434" w:rsidRDefault="006E4434" w:rsidP="006E4434">
            <w:pPr>
              <w:pStyle w:val="Title"/>
              <w:jc w:val="left"/>
              <w:rPr>
                <w:b w:val="0"/>
                <w:sz w:val="22"/>
                <w:szCs w:val="22"/>
              </w:rPr>
            </w:pPr>
            <w:r w:rsidRPr="006E4434">
              <w:rPr>
                <w:b w:val="0"/>
                <w:sz w:val="22"/>
                <w:szCs w:val="22"/>
              </w:rPr>
              <w:t>Janssen suggests that the wording of the remit should reflect the anticipated licence as added in italics below:</w:t>
            </w:r>
          </w:p>
          <w:p w:rsidR="00480603" w:rsidRPr="00584846" w:rsidRDefault="006E4434" w:rsidP="006E4434">
            <w:pPr>
              <w:pStyle w:val="Title"/>
              <w:jc w:val="left"/>
              <w:rPr>
                <w:b w:val="0"/>
                <w:sz w:val="22"/>
                <w:szCs w:val="22"/>
              </w:rPr>
            </w:pPr>
            <w:r w:rsidRPr="006E4434">
              <w:rPr>
                <w:b w:val="0"/>
                <w:sz w:val="22"/>
                <w:szCs w:val="22"/>
              </w:rPr>
              <w:t>“To appraise the clinical and cost effectiveness of abiraterone within its marketing authorisation for treating newly diagnosed adults with high-risk, metastatic hormone-naive prostate cancer (mHNPC)”</w:t>
            </w:r>
          </w:p>
        </w:tc>
        <w:tc>
          <w:tcPr>
            <w:tcW w:w="2584" w:type="dxa"/>
          </w:tcPr>
          <w:p w:rsidR="00480603" w:rsidRPr="00584846" w:rsidRDefault="006D5D9A" w:rsidP="008C38E8">
            <w:pPr>
              <w:pStyle w:val="Title"/>
              <w:jc w:val="left"/>
              <w:rPr>
                <w:b w:val="0"/>
                <w:sz w:val="22"/>
                <w:szCs w:val="22"/>
              </w:rPr>
            </w:pPr>
            <w:r>
              <w:rPr>
                <w:b w:val="0"/>
                <w:sz w:val="22"/>
                <w:szCs w:val="22"/>
              </w:rPr>
              <w:t>Comment noted</w:t>
            </w:r>
            <w:r w:rsidR="004C458E">
              <w:rPr>
                <w:b w:val="0"/>
                <w:sz w:val="22"/>
                <w:szCs w:val="22"/>
              </w:rPr>
              <w:t xml:space="preserve">, </w:t>
            </w:r>
            <w:r w:rsidR="00F9246E">
              <w:rPr>
                <w:b w:val="0"/>
                <w:sz w:val="22"/>
                <w:szCs w:val="22"/>
              </w:rPr>
              <w:t>‘H</w:t>
            </w:r>
            <w:r>
              <w:rPr>
                <w:b w:val="0"/>
                <w:sz w:val="22"/>
                <w:szCs w:val="22"/>
              </w:rPr>
              <w:t>igh-risk</w:t>
            </w:r>
            <w:r w:rsidR="008C38E8">
              <w:rPr>
                <w:b w:val="0"/>
                <w:sz w:val="22"/>
                <w:szCs w:val="22"/>
              </w:rPr>
              <w:t>’</w:t>
            </w:r>
            <w:r>
              <w:rPr>
                <w:b w:val="0"/>
                <w:sz w:val="22"/>
                <w:szCs w:val="22"/>
              </w:rPr>
              <w:t xml:space="preserve"> has been added to the remit to reflect the </w:t>
            </w:r>
            <w:r w:rsidR="00F9246E">
              <w:rPr>
                <w:b w:val="0"/>
                <w:sz w:val="22"/>
                <w:szCs w:val="22"/>
              </w:rPr>
              <w:t>marketing authorisation.</w:t>
            </w:r>
          </w:p>
        </w:tc>
      </w:tr>
      <w:tr w:rsidR="00656021" w:rsidRPr="003724F8" w:rsidTr="00656021">
        <w:tc>
          <w:tcPr>
            <w:tcW w:w="1951" w:type="dxa"/>
            <w:vMerge w:val="restart"/>
            <w:tcBorders>
              <w:top w:val="single" w:sz="12" w:space="0" w:color="auto"/>
            </w:tcBorders>
          </w:tcPr>
          <w:p w:rsidR="00656021" w:rsidRPr="00EC0E27" w:rsidRDefault="00656021" w:rsidP="00EC0E27">
            <w:pPr>
              <w:pStyle w:val="Title"/>
              <w:jc w:val="left"/>
              <w:rPr>
                <w:b w:val="0"/>
                <w:sz w:val="22"/>
                <w:szCs w:val="22"/>
              </w:rPr>
            </w:pPr>
            <w:r w:rsidRPr="00EC0E27">
              <w:rPr>
                <w:b w:val="0"/>
                <w:sz w:val="22"/>
                <w:szCs w:val="22"/>
              </w:rPr>
              <w:lastRenderedPageBreak/>
              <w:t>Timing Issues</w:t>
            </w:r>
          </w:p>
        </w:tc>
        <w:tc>
          <w:tcPr>
            <w:tcW w:w="1843" w:type="dxa"/>
            <w:tcBorders>
              <w:top w:val="single" w:sz="12" w:space="0" w:color="auto"/>
            </w:tcBorders>
          </w:tcPr>
          <w:p w:rsidR="00656021" w:rsidRPr="00584846" w:rsidRDefault="00424CBB" w:rsidP="00584846">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424CBB" w:rsidRDefault="00424CBB" w:rsidP="00424CBB">
            <w:pPr>
              <w:spacing w:before="60" w:after="60"/>
            </w:pPr>
            <w:r w:rsidRPr="005F6D65">
              <w:t>There always are more pressing matters, but one of the drawbacks of the way these drugs are introduced is that they seem always to commence with trials with "moribund" patients I have always suspected that Abi</w:t>
            </w:r>
            <w:r>
              <w:t>raterone</w:t>
            </w:r>
            <w:r w:rsidRPr="005F6D65">
              <w:t xml:space="preserve"> (and Enza</w:t>
            </w:r>
            <w:r>
              <w:t>lutamide</w:t>
            </w:r>
            <w:r w:rsidRPr="005F6D65">
              <w:t>, for that matter) would produce even more spectacular results with patients whose cancer is at an earlier stage.</w:t>
            </w:r>
          </w:p>
        </w:tc>
        <w:tc>
          <w:tcPr>
            <w:tcW w:w="2584" w:type="dxa"/>
            <w:tcBorders>
              <w:top w:val="single" w:sz="12" w:space="0" w:color="auto"/>
            </w:tcBorders>
          </w:tcPr>
          <w:p w:rsidR="00656021" w:rsidRPr="00584846" w:rsidRDefault="00206C4D" w:rsidP="004C458E">
            <w:pPr>
              <w:pStyle w:val="Title"/>
              <w:jc w:val="left"/>
              <w:rPr>
                <w:b w:val="0"/>
                <w:sz w:val="22"/>
                <w:szCs w:val="22"/>
              </w:rPr>
            </w:pPr>
            <w:r>
              <w:rPr>
                <w:b w:val="0"/>
                <w:sz w:val="22"/>
                <w:szCs w:val="22"/>
              </w:rPr>
              <w:t xml:space="preserve">Comment noted. </w:t>
            </w:r>
            <w:r w:rsidR="004C458E">
              <w:rPr>
                <w:b w:val="0"/>
                <w:sz w:val="22"/>
                <w:szCs w:val="22"/>
              </w:rPr>
              <w:t>NICE acknowledges the concern, however abiraterone</w:t>
            </w:r>
            <w:r>
              <w:rPr>
                <w:b w:val="0"/>
                <w:sz w:val="22"/>
                <w:szCs w:val="22"/>
              </w:rPr>
              <w:t xml:space="preserve"> </w:t>
            </w:r>
            <w:r w:rsidR="004C458E">
              <w:rPr>
                <w:b w:val="0"/>
                <w:sz w:val="22"/>
                <w:szCs w:val="22"/>
              </w:rPr>
              <w:t xml:space="preserve">can only </w:t>
            </w:r>
            <w:r>
              <w:rPr>
                <w:b w:val="0"/>
                <w:sz w:val="22"/>
                <w:szCs w:val="22"/>
              </w:rPr>
              <w:t>appraised within it</w:t>
            </w:r>
            <w:r w:rsidR="007C2C1A">
              <w:rPr>
                <w:b w:val="0"/>
                <w:sz w:val="22"/>
                <w:szCs w:val="22"/>
              </w:rPr>
              <w:t>s</w:t>
            </w:r>
            <w:r>
              <w:rPr>
                <w:b w:val="0"/>
                <w:sz w:val="22"/>
                <w:szCs w:val="22"/>
              </w:rPr>
              <w:t xml:space="preserve"> marketing authorisation</w:t>
            </w:r>
            <w:r w:rsidR="004C458E">
              <w:rPr>
                <w:b w:val="0"/>
                <w:sz w:val="22"/>
                <w:szCs w:val="22"/>
              </w:rPr>
              <w:t xml:space="preserve">. </w:t>
            </w:r>
          </w:p>
        </w:tc>
      </w:tr>
      <w:tr w:rsidR="00656021" w:rsidRPr="003724F8" w:rsidTr="00EC0E27">
        <w:tc>
          <w:tcPr>
            <w:tcW w:w="1951" w:type="dxa"/>
            <w:vMerge/>
          </w:tcPr>
          <w:p w:rsidR="00656021" w:rsidRPr="00EC0E27" w:rsidRDefault="00656021" w:rsidP="00EC0E27">
            <w:pPr>
              <w:pStyle w:val="Title"/>
              <w:jc w:val="left"/>
              <w:rPr>
                <w:b w:val="0"/>
                <w:sz w:val="22"/>
                <w:szCs w:val="22"/>
              </w:rPr>
            </w:pPr>
          </w:p>
        </w:tc>
        <w:tc>
          <w:tcPr>
            <w:tcW w:w="1843" w:type="dxa"/>
          </w:tcPr>
          <w:p w:rsidR="00656021" w:rsidRPr="00584846" w:rsidRDefault="003D31FF" w:rsidP="00584846">
            <w:pPr>
              <w:pStyle w:val="Title"/>
              <w:jc w:val="left"/>
              <w:rPr>
                <w:b w:val="0"/>
                <w:sz w:val="22"/>
                <w:szCs w:val="22"/>
              </w:rPr>
            </w:pPr>
            <w:r>
              <w:rPr>
                <w:b w:val="0"/>
                <w:sz w:val="22"/>
                <w:szCs w:val="22"/>
              </w:rPr>
              <w:t>Janssen</w:t>
            </w:r>
          </w:p>
        </w:tc>
        <w:tc>
          <w:tcPr>
            <w:tcW w:w="7796" w:type="dxa"/>
          </w:tcPr>
          <w:p w:rsidR="006E4434" w:rsidRPr="006E4434" w:rsidRDefault="006E4434" w:rsidP="006E4434">
            <w:pPr>
              <w:pStyle w:val="Title"/>
              <w:jc w:val="left"/>
              <w:rPr>
                <w:b w:val="0"/>
                <w:sz w:val="22"/>
                <w:szCs w:val="22"/>
              </w:rPr>
            </w:pPr>
            <w:r w:rsidRPr="006E4434">
              <w:rPr>
                <w:b w:val="0"/>
                <w:sz w:val="22"/>
                <w:szCs w:val="22"/>
              </w:rPr>
              <w:t>Commercial in confidence:</w:t>
            </w:r>
          </w:p>
          <w:p w:rsidR="00656021" w:rsidRPr="00584846" w:rsidRDefault="000024CA" w:rsidP="006E4434">
            <w:pPr>
              <w:pStyle w:val="Title"/>
              <w:jc w:val="left"/>
              <w:rPr>
                <w:b w:val="0"/>
                <w:sz w:val="22"/>
                <w:szCs w:val="22"/>
              </w:rPr>
            </w:pPr>
            <w:r w:rsidRPr="003C75C9">
              <w:rPr>
                <w:b w:val="0"/>
                <w:sz w:val="22"/>
                <w:szCs w:val="22"/>
                <w:highlight w:val="black"/>
                <w:u w:val="single"/>
              </w:rPr>
              <w:t>************************************************************************************************************************************************************************************************************************************************************************</w:t>
            </w:r>
          </w:p>
        </w:tc>
        <w:tc>
          <w:tcPr>
            <w:tcW w:w="2584" w:type="dxa"/>
          </w:tcPr>
          <w:p w:rsidR="004C458E" w:rsidRPr="004C458E" w:rsidRDefault="004C458E" w:rsidP="004C458E">
            <w:pPr>
              <w:pStyle w:val="Heading1"/>
            </w:pPr>
            <w:r w:rsidRPr="00F9246E">
              <w:rPr>
                <w:b w:val="0"/>
                <w:sz w:val="22"/>
                <w:szCs w:val="22"/>
              </w:rPr>
              <w:t xml:space="preserve">Comment noted. NICE </w:t>
            </w:r>
            <w:r w:rsidR="007C2C1A">
              <w:rPr>
                <w:b w:val="0"/>
                <w:sz w:val="22"/>
                <w:szCs w:val="22"/>
              </w:rPr>
              <w:t xml:space="preserve">aims </w:t>
            </w:r>
            <w:r w:rsidR="00F9246E" w:rsidRPr="00F9246E">
              <w:rPr>
                <w:b w:val="0"/>
                <w:sz w:val="22"/>
                <w:szCs w:val="22"/>
              </w:rPr>
              <w:t xml:space="preserve">to </w:t>
            </w:r>
            <w:r w:rsidR="007C2C1A">
              <w:rPr>
                <w:b w:val="0"/>
                <w:sz w:val="22"/>
                <w:szCs w:val="22"/>
              </w:rPr>
              <w:t xml:space="preserve">publish </w:t>
            </w:r>
            <w:r w:rsidR="00F9246E" w:rsidRPr="00F9246E">
              <w:rPr>
                <w:b w:val="0"/>
                <w:sz w:val="22"/>
                <w:szCs w:val="22"/>
              </w:rPr>
              <w:t>guidance published within 90 days of</w:t>
            </w:r>
            <w:r w:rsidR="007C2C1A">
              <w:rPr>
                <w:b w:val="0"/>
                <w:sz w:val="22"/>
                <w:szCs w:val="22"/>
              </w:rPr>
              <w:t xml:space="preserve"> the</w:t>
            </w:r>
            <w:r w:rsidR="00F9246E" w:rsidRPr="00F9246E">
              <w:rPr>
                <w:b w:val="0"/>
                <w:sz w:val="22"/>
                <w:szCs w:val="22"/>
              </w:rPr>
              <w:t xml:space="preserve"> marketing authorisation</w:t>
            </w:r>
            <w:r w:rsidR="007C2C1A">
              <w:rPr>
                <w:b w:val="0"/>
                <w:sz w:val="22"/>
                <w:szCs w:val="22"/>
              </w:rPr>
              <w:t xml:space="preserve">. </w:t>
            </w:r>
          </w:p>
        </w:tc>
      </w:tr>
      <w:tr w:rsidR="00656021" w:rsidRPr="003724F8" w:rsidTr="00656021">
        <w:tc>
          <w:tcPr>
            <w:tcW w:w="1951" w:type="dxa"/>
            <w:tcBorders>
              <w:top w:val="single" w:sz="12" w:space="0" w:color="auto"/>
            </w:tcBorders>
          </w:tcPr>
          <w:p w:rsidR="00656021" w:rsidRPr="00EC0E27" w:rsidRDefault="00656021" w:rsidP="00EC0E27">
            <w:pPr>
              <w:pStyle w:val="Title"/>
              <w:jc w:val="left"/>
              <w:rPr>
                <w:b w:val="0"/>
                <w:sz w:val="22"/>
                <w:szCs w:val="22"/>
              </w:rPr>
            </w:pPr>
            <w:r w:rsidRPr="00EC0E27">
              <w:rPr>
                <w:b w:val="0"/>
                <w:sz w:val="22"/>
                <w:szCs w:val="22"/>
              </w:rPr>
              <w:t>Additional comments on the draft remit</w:t>
            </w:r>
          </w:p>
        </w:tc>
        <w:tc>
          <w:tcPr>
            <w:tcW w:w="1843" w:type="dxa"/>
            <w:tcBorders>
              <w:top w:val="single" w:sz="12" w:space="0" w:color="auto"/>
            </w:tcBorders>
          </w:tcPr>
          <w:p w:rsidR="00656021" w:rsidRPr="00584846" w:rsidRDefault="003D31FF" w:rsidP="00584846">
            <w:pPr>
              <w:pStyle w:val="Title"/>
              <w:jc w:val="left"/>
              <w:rPr>
                <w:b w:val="0"/>
                <w:sz w:val="22"/>
                <w:szCs w:val="22"/>
              </w:rPr>
            </w:pPr>
            <w:r>
              <w:rPr>
                <w:b w:val="0"/>
                <w:sz w:val="22"/>
                <w:szCs w:val="22"/>
              </w:rPr>
              <w:t>Janssen</w:t>
            </w:r>
          </w:p>
        </w:tc>
        <w:tc>
          <w:tcPr>
            <w:tcW w:w="7796" w:type="dxa"/>
            <w:tcBorders>
              <w:top w:val="single" w:sz="12" w:space="0" w:color="auto"/>
            </w:tcBorders>
          </w:tcPr>
          <w:p w:rsidR="00656021" w:rsidRPr="00584846" w:rsidRDefault="006E4434" w:rsidP="006E4434">
            <w:pPr>
              <w:pStyle w:val="Title"/>
              <w:jc w:val="left"/>
              <w:rPr>
                <w:b w:val="0"/>
                <w:sz w:val="22"/>
                <w:szCs w:val="22"/>
              </w:rPr>
            </w:pPr>
            <w:r w:rsidRPr="006E4434">
              <w:rPr>
                <w:b w:val="0"/>
                <w:sz w:val="22"/>
                <w:szCs w:val="22"/>
              </w:rPr>
              <w:t>No additional comments</w:t>
            </w:r>
          </w:p>
        </w:tc>
        <w:tc>
          <w:tcPr>
            <w:tcW w:w="2584" w:type="dxa"/>
            <w:tcBorders>
              <w:top w:val="single" w:sz="12" w:space="0" w:color="auto"/>
            </w:tcBorders>
          </w:tcPr>
          <w:p w:rsidR="00656021" w:rsidRPr="00584846" w:rsidRDefault="004C458E" w:rsidP="00584846">
            <w:pPr>
              <w:pStyle w:val="Title"/>
              <w:jc w:val="left"/>
              <w:rPr>
                <w:b w:val="0"/>
                <w:sz w:val="22"/>
                <w:szCs w:val="22"/>
              </w:rPr>
            </w:pPr>
            <w:r>
              <w:rPr>
                <w:b w:val="0"/>
                <w:sz w:val="22"/>
                <w:szCs w:val="22"/>
              </w:rPr>
              <w:t>Comments noted</w:t>
            </w:r>
          </w:p>
        </w:tc>
      </w:tr>
    </w:tbl>
    <w:p w:rsidR="00443081" w:rsidRPr="00EC0E27" w:rsidRDefault="00EC0E27" w:rsidP="00EC0E27">
      <w:pPr>
        <w:pStyle w:val="Title"/>
        <w:jc w:val="left"/>
        <w:rPr>
          <w:sz w:val="22"/>
          <w:szCs w:val="22"/>
        </w:rPr>
      </w:pPr>
      <w:r w:rsidRPr="00EC0E27">
        <w:rPr>
          <w:sz w:val="22"/>
          <w:szCs w:val="22"/>
        </w:rPr>
        <w:t>Comment 2: the draft scope</w:t>
      </w:r>
    </w:p>
    <w:tbl>
      <w:tblPr>
        <w:tblStyle w:val="TableGrid"/>
        <w:tblW w:w="0" w:type="auto"/>
        <w:tblLayout w:type="fixed"/>
        <w:tblLook w:val="04A0" w:firstRow="1" w:lastRow="0" w:firstColumn="1" w:lastColumn="0" w:noHBand="0" w:noVBand="1"/>
      </w:tblPr>
      <w:tblGrid>
        <w:gridCol w:w="1951"/>
        <w:gridCol w:w="1843"/>
        <w:gridCol w:w="7796"/>
        <w:gridCol w:w="2584"/>
      </w:tblGrid>
      <w:tr w:rsidR="00EC0E27" w:rsidRPr="000664FE" w:rsidTr="00656021">
        <w:trPr>
          <w:trHeight w:val="590"/>
          <w:tblHeader/>
        </w:trPr>
        <w:tc>
          <w:tcPr>
            <w:tcW w:w="1951" w:type="dxa"/>
            <w:tcBorders>
              <w:bottom w:val="single" w:sz="12" w:space="0" w:color="auto"/>
            </w:tcBorders>
            <w:shd w:val="clear" w:color="auto" w:fill="D9D9D9" w:themeFill="background1" w:themeFillShade="D9"/>
          </w:tcPr>
          <w:p w:rsidR="00EC0E27" w:rsidRPr="000664FE" w:rsidRDefault="00EC0E27" w:rsidP="00240058">
            <w:pPr>
              <w:pStyle w:val="Title"/>
              <w:rPr>
                <w:sz w:val="22"/>
                <w:szCs w:val="22"/>
              </w:rPr>
            </w:pPr>
            <w:r w:rsidRPr="000664FE">
              <w:rPr>
                <w:sz w:val="22"/>
                <w:szCs w:val="22"/>
              </w:rPr>
              <w:t xml:space="preserve">Section </w:t>
            </w:r>
          </w:p>
        </w:tc>
        <w:tc>
          <w:tcPr>
            <w:tcW w:w="1843" w:type="dxa"/>
            <w:tcBorders>
              <w:bottom w:val="single" w:sz="12" w:space="0" w:color="auto"/>
            </w:tcBorders>
            <w:shd w:val="clear" w:color="auto" w:fill="D9D9D9" w:themeFill="background1" w:themeFillShade="D9"/>
          </w:tcPr>
          <w:p w:rsidR="00EC0E27" w:rsidRPr="000664FE" w:rsidRDefault="00EC0E27" w:rsidP="00240058">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rsidR="00EC0E27" w:rsidRPr="000664FE" w:rsidRDefault="00EC0E27" w:rsidP="00240058">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rsidR="00EC0E27" w:rsidRPr="000664FE" w:rsidRDefault="00EC0E27" w:rsidP="00240058">
            <w:pPr>
              <w:pStyle w:val="Title"/>
              <w:rPr>
                <w:sz w:val="22"/>
                <w:szCs w:val="22"/>
              </w:rPr>
            </w:pPr>
            <w:r w:rsidRPr="000664FE">
              <w:rPr>
                <w:sz w:val="22"/>
                <w:szCs w:val="22"/>
              </w:rPr>
              <w:t>Action</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Pr>
                <w:b w:val="0"/>
                <w:sz w:val="22"/>
                <w:szCs w:val="22"/>
              </w:rPr>
              <w:t>Yes</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Comments noted</w:t>
            </w:r>
          </w:p>
        </w:tc>
      </w:tr>
      <w:tr w:rsidR="00656021" w:rsidRPr="000664FE" w:rsidTr="00240058">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E4434" w:rsidRPr="006E4434" w:rsidRDefault="006E4434" w:rsidP="004C458E">
            <w:pPr>
              <w:pStyle w:val="Title"/>
              <w:jc w:val="left"/>
              <w:rPr>
                <w:b w:val="0"/>
                <w:sz w:val="22"/>
                <w:szCs w:val="22"/>
              </w:rPr>
            </w:pPr>
            <w:r w:rsidRPr="006E4434">
              <w:rPr>
                <w:b w:val="0"/>
                <w:sz w:val="22"/>
                <w:szCs w:val="22"/>
              </w:rPr>
              <w:t>The statement “In England, there were over 40,000 people newly diagnosed with prostate cancer and over 9500 deat</w:t>
            </w:r>
            <w:r w:rsidR="004C458E">
              <w:rPr>
                <w:b w:val="0"/>
                <w:sz w:val="22"/>
                <w:szCs w:val="22"/>
              </w:rPr>
              <w:t>hs from prostate cancer in 2013</w:t>
            </w:r>
            <w:r w:rsidRPr="006E4434">
              <w:rPr>
                <w:b w:val="0"/>
                <w:sz w:val="22"/>
                <w:szCs w:val="22"/>
              </w:rPr>
              <w:t xml:space="preserve">.” refers to a wider population than the one considered as part of this scope. </w:t>
            </w:r>
          </w:p>
          <w:p w:rsidR="00656021" w:rsidRPr="000664FE" w:rsidRDefault="006E4434" w:rsidP="004C458E">
            <w:pPr>
              <w:pStyle w:val="Title"/>
              <w:jc w:val="left"/>
              <w:rPr>
                <w:b w:val="0"/>
                <w:sz w:val="22"/>
                <w:szCs w:val="22"/>
              </w:rPr>
            </w:pPr>
            <w:r w:rsidRPr="006E4434">
              <w:rPr>
                <w:b w:val="0"/>
                <w:sz w:val="22"/>
                <w:szCs w:val="22"/>
              </w:rPr>
              <w:lastRenderedPageBreak/>
              <w:t>Based on the NPCA Annual report (2015), 13,102 of the 48,294 (21%) men new diagnosed with prostate cancer every year are diagnosed with an advance prostate cancer (i.e. metastatic).</w:t>
            </w:r>
          </w:p>
        </w:tc>
        <w:tc>
          <w:tcPr>
            <w:tcW w:w="2584" w:type="dxa"/>
          </w:tcPr>
          <w:p w:rsidR="00656021" w:rsidRDefault="004C458E" w:rsidP="000664FE">
            <w:pPr>
              <w:pStyle w:val="Title"/>
              <w:jc w:val="left"/>
              <w:rPr>
                <w:b w:val="0"/>
                <w:sz w:val="22"/>
                <w:szCs w:val="22"/>
              </w:rPr>
            </w:pPr>
            <w:r>
              <w:rPr>
                <w:b w:val="0"/>
                <w:sz w:val="22"/>
                <w:szCs w:val="22"/>
              </w:rPr>
              <w:lastRenderedPageBreak/>
              <w:t xml:space="preserve">Comments noted. </w:t>
            </w:r>
            <w:r w:rsidR="008B62DA">
              <w:rPr>
                <w:b w:val="0"/>
                <w:sz w:val="22"/>
                <w:szCs w:val="22"/>
              </w:rPr>
              <w:t xml:space="preserve">NICE acknowledge that this figures states in the </w:t>
            </w:r>
            <w:r w:rsidR="008B62DA">
              <w:rPr>
                <w:b w:val="0"/>
                <w:sz w:val="22"/>
                <w:szCs w:val="22"/>
              </w:rPr>
              <w:lastRenderedPageBreak/>
              <w:t xml:space="preserve">scope are for a wider population. </w:t>
            </w:r>
          </w:p>
          <w:p w:rsidR="004C458E" w:rsidRPr="004C458E" w:rsidRDefault="004C458E" w:rsidP="004C458E">
            <w:pPr>
              <w:pStyle w:val="Heading1"/>
            </w:pP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lastRenderedPageBreak/>
              <w:t>The technology/ intervention</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Pr>
                <w:b w:val="0"/>
                <w:sz w:val="22"/>
                <w:szCs w:val="22"/>
              </w:rPr>
              <w:t>Yes</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 xml:space="preserve">Comments noted. </w:t>
            </w:r>
          </w:p>
        </w:tc>
      </w:tr>
      <w:tr w:rsidR="00656021" w:rsidRPr="000664FE" w:rsidTr="00240058">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6E4434" w:rsidP="000664FE">
            <w:pPr>
              <w:pStyle w:val="Title"/>
              <w:jc w:val="left"/>
              <w:rPr>
                <w:b w:val="0"/>
                <w:sz w:val="22"/>
                <w:szCs w:val="22"/>
              </w:rPr>
            </w:pPr>
            <w:r w:rsidRPr="006E4434">
              <w:rPr>
                <w:b w:val="0"/>
                <w:sz w:val="22"/>
                <w:szCs w:val="22"/>
              </w:rPr>
              <w:t>No comments</w:t>
            </w:r>
          </w:p>
        </w:tc>
        <w:tc>
          <w:tcPr>
            <w:tcW w:w="2584" w:type="dxa"/>
          </w:tcPr>
          <w:p w:rsidR="00656021" w:rsidRPr="000664FE" w:rsidRDefault="004C458E" w:rsidP="000664FE">
            <w:pPr>
              <w:pStyle w:val="Title"/>
              <w:jc w:val="left"/>
              <w:rPr>
                <w:b w:val="0"/>
                <w:sz w:val="22"/>
                <w:szCs w:val="22"/>
              </w:rPr>
            </w:pPr>
            <w:r>
              <w:rPr>
                <w:b w:val="0"/>
                <w:sz w:val="22"/>
                <w:szCs w:val="22"/>
              </w:rPr>
              <w:t xml:space="preserve">Comments noted. </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t>Population</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Pr>
                <w:b w:val="0"/>
                <w:sz w:val="22"/>
                <w:szCs w:val="22"/>
              </w:rPr>
              <w:t>Yes</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 xml:space="preserve">Comments noted. </w:t>
            </w:r>
          </w:p>
        </w:tc>
      </w:tr>
      <w:tr w:rsidR="00656021" w:rsidRPr="000664FE" w:rsidTr="00240058">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E4434" w:rsidRPr="006E4434" w:rsidRDefault="006E4434" w:rsidP="006E4434">
            <w:pPr>
              <w:pStyle w:val="Title"/>
              <w:jc w:val="left"/>
              <w:rPr>
                <w:b w:val="0"/>
                <w:sz w:val="22"/>
                <w:szCs w:val="22"/>
              </w:rPr>
            </w:pPr>
            <w:r w:rsidRPr="006E4434">
              <w:rPr>
                <w:b w:val="0"/>
                <w:sz w:val="22"/>
                <w:szCs w:val="22"/>
              </w:rPr>
              <w:t>The population should reflect the expected license for abiraterone:</w:t>
            </w:r>
          </w:p>
          <w:p w:rsidR="00656021" w:rsidRPr="000664FE" w:rsidRDefault="006E4434" w:rsidP="006E4434">
            <w:pPr>
              <w:pStyle w:val="Title"/>
              <w:tabs>
                <w:tab w:val="left" w:pos="1758"/>
              </w:tabs>
              <w:jc w:val="left"/>
              <w:rPr>
                <w:b w:val="0"/>
                <w:sz w:val="22"/>
                <w:szCs w:val="22"/>
              </w:rPr>
            </w:pPr>
            <w:r w:rsidRPr="006E4434">
              <w:rPr>
                <w:b w:val="0"/>
                <w:sz w:val="22"/>
                <w:szCs w:val="22"/>
              </w:rPr>
              <w:t>Adults with newly diagnosed high-risk, metastatic hormone-naive prostate cancer (mHNPC)</w:t>
            </w:r>
          </w:p>
        </w:tc>
        <w:tc>
          <w:tcPr>
            <w:tcW w:w="2584" w:type="dxa"/>
          </w:tcPr>
          <w:p w:rsidR="00656021" w:rsidRPr="000664FE" w:rsidRDefault="00F9246E" w:rsidP="008C38E8">
            <w:pPr>
              <w:pStyle w:val="Title"/>
              <w:jc w:val="left"/>
              <w:rPr>
                <w:b w:val="0"/>
                <w:sz w:val="22"/>
                <w:szCs w:val="22"/>
              </w:rPr>
            </w:pPr>
            <w:r>
              <w:rPr>
                <w:b w:val="0"/>
                <w:sz w:val="22"/>
                <w:szCs w:val="22"/>
              </w:rPr>
              <w:t>Comment noted, ‘</w:t>
            </w:r>
            <w:r w:rsidR="00113D70">
              <w:rPr>
                <w:b w:val="0"/>
                <w:sz w:val="22"/>
                <w:szCs w:val="22"/>
              </w:rPr>
              <w:t>h</w:t>
            </w:r>
            <w:r w:rsidR="004C458E">
              <w:rPr>
                <w:b w:val="0"/>
                <w:sz w:val="22"/>
                <w:szCs w:val="22"/>
              </w:rPr>
              <w:t>igh-risk</w:t>
            </w:r>
            <w:r w:rsidR="008C38E8">
              <w:rPr>
                <w:b w:val="0"/>
                <w:sz w:val="22"/>
                <w:szCs w:val="22"/>
              </w:rPr>
              <w:t>’</w:t>
            </w:r>
            <w:r w:rsidR="004C458E">
              <w:rPr>
                <w:b w:val="0"/>
                <w:sz w:val="22"/>
                <w:szCs w:val="22"/>
              </w:rPr>
              <w:t xml:space="preserve"> has been added to the remit to reflect the </w:t>
            </w:r>
            <w:r>
              <w:rPr>
                <w:b w:val="0"/>
                <w:sz w:val="22"/>
                <w:szCs w:val="22"/>
              </w:rPr>
              <w:t>marketing authorisation.</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t>Comparators</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These treatments are correct. I think that Zoladex should be described as ‘best supportive care.</w:t>
            </w:r>
          </w:p>
        </w:tc>
        <w:tc>
          <w:tcPr>
            <w:tcW w:w="2584" w:type="dxa"/>
            <w:tcBorders>
              <w:top w:val="single" w:sz="12" w:space="0" w:color="auto"/>
            </w:tcBorders>
          </w:tcPr>
          <w:p w:rsidR="00A1626A" w:rsidRPr="00A1626A" w:rsidRDefault="004C458E" w:rsidP="00255099">
            <w:pPr>
              <w:pStyle w:val="Title"/>
              <w:jc w:val="left"/>
            </w:pPr>
            <w:r>
              <w:rPr>
                <w:b w:val="0"/>
                <w:sz w:val="22"/>
                <w:szCs w:val="22"/>
              </w:rPr>
              <w:t xml:space="preserve">Comment noted. </w:t>
            </w:r>
            <w:r w:rsidR="00A1626A" w:rsidRPr="00A1626A">
              <w:rPr>
                <w:b w:val="0"/>
                <w:sz w:val="22"/>
                <w:szCs w:val="22"/>
              </w:rPr>
              <w:t>NICE</w:t>
            </w:r>
            <w:r w:rsidR="008C38E8">
              <w:rPr>
                <w:b w:val="0"/>
                <w:sz w:val="22"/>
                <w:szCs w:val="22"/>
              </w:rPr>
              <w:t>’s</w:t>
            </w:r>
            <w:r w:rsidR="00A1626A" w:rsidRPr="00A1626A">
              <w:rPr>
                <w:b w:val="0"/>
                <w:sz w:val="22"/>
                <w:szCs w:val="22"/>
              </w:rPr>
              <w:t xml:space="preserve"> clinical guideline 175 recommends continuous luteinising hormone-releasing hormone agonist therapy</w:t>
            </w:r>
            <w:r w:rsidR="00A1626A">
              <w:rPr>
                <w:b w:val="0"/>
                <w:sz w:val="22"/>
                <w:szCs w:val="22"/>
              </w:rPr>
              <w:t xml:space="preserve"> (LHRH) as </w:t>
            </w:r>
            <w:r w:rsidR="00255099">
              <w:rPr>
                <w:b w:val="0"/>
                <w:sz w:val="22"/>
                <w:szCs w:val="22"/>
              </w:rPr>
              <w:t xml:space="preserve">a </w:t>
            </w:r>
            <w:r w:rsidR="00A1626A">
              <w:rPr>
                <w:b w:val="0"/>
                <w:sz w:val="22"/>
                <w:szCs w:val="22"/>
              </w:rPr>
              <w:t xml:space="preserve">treatment options. LHRH, which includes </w:t>
            </w:r>
            <w:r w:rsidR="00255099">
              <w:rPr>
                <w:b w:val="0"/>
                <w:sz w:val="22"/>
                <w:szCs w:val="22"/>
              </w:rPr>
              <w:t>g</w:t>
            </w:r>
            <w:r w:rsidR="00A1626A" w:rsidRPr="00A1626A">
              <w:rPr>
                <w:b w:val="0"/>
                <w:sz w:val="22"/>
                <w:szCs w:val="22"/>
              </w:rPr>
              <w:t>oserelin</w:t>
            </w:r>
            <w:r w:rsidR="00A1626A">
              <w:rPr>
                <w:b w:val="0"/>
                <w:sz w:val="22"/>
                <w:szCs w:val="22"/>
              </w:rPr>
              <w:t xml:space="preserve"> (</w:t>
            </w:r>
            <w:r w:rsidR="00A1626A" w:rsidRPr="00424CBB">
              <w:rPr>
                <w:b w:val="0"/>
                <w:sz w:val="22"/>
                <w:szCs w:val="22"/>
              </w:rPr>
              <w:t>Zoladex</w:t>
            </w:r>
            <w:r w:rsidR="00A1626A">
              <w:rPr>
                <w:b w:val="0"/>
                <w:sz w:val="22"/>
                <w:szCs w:val="22"/>
              </w:rPr>
              <w:t xml:space="preserve">), is included as </w:t>
            </w:r>
            <w:r w:rsidR="00255099">
              <w:rPr>
                <w:b w:val="0"/>
                <w:sz w:val="22"/>
                <w:szCs w:val="22"/>
              </w:rPr>
              <w:t xml:space="preserve">a </w:t>
            </w:r>
            <w:r w:rsidR="00A1626A">
              <w:rPr>
                <w:b w:val="0"/>
                <w:sz w:val="22"/>
                <w:szCs w:val="22"/>
              </w:rPr>
              <w:lastRenderedPageBreak/>
              <w:t>comparator in the scope.</w:t>
            </w:r>
          </w:p>
        </w:tc>
      </w:tr>
      <w:tr w:rsidR="00656021" w:rsidRPr="000664FE" w:rsidTr="00240058">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C83C5E" w:rsidP="000664FE">
            <w:pPr>
              <w:pStyle w:val="Title"/>
              <w:jc w:val="left"/>
              <w:rPr>
                <w:b w:val="0"/>
                <w:sz w:val="22"/>
                <w:szCs w:val="22"/>
              </w:rPr>
            </w:pPr>
            <w:r w:rsidRPr="00C83C5E">
              <w:rPr>
                <w:b w:val="0"/>
                <w:sz w:val="22"/>
                <w:szCs w:val="22"/>
              </w:rPr>
              <w:t>Prostate Cancer UK</w:t>
            </w:r>
          </w:p>
        </w:tc>
        <w:tc>
          <w:tcPr>
            <w:tcW w:w="7796" w:type="dxa"/>
          </w:tcPr>
          <w:p w:rsidR="00424CBB" w:rsidRDefault="00424CBB" w:rsidP="00424CBB">
            <w:pPr>
              <w:pStyle w:val="Title"/>
              <w:jc w:val="left"/>
              <w:rPr>
                <w:b w:val="0"/>
                <w:sz w:val="22"/>
                <w:szCs w:val="22"/>
              </w:rPr>
            </w:pPr>
            <w:r w:rsidRPr="00424CBB">
              <w:rPr>
                <w:b w:val="0"/>
                <w:sz w:val="22"/>
                <w:szCs w:val="22"/>
              </w:rPr>
              <w:t>Yes, the treatments mentioned are used as standard and those with which abiraterone should be compared. As indicated in NHS England Commissioning Policy Statement on Docetaxel in combination with androgen deprivation therapy, this would be described as ‘best alternative care’. Please also note that as identified in the docetaxel policy statement, ‘hormone naïve’ refers to where treatment with docetaxel is started within 12 weeks of commencing treatment with ADT.</w:t>
            </w:r>
            <w:r>
              <w:rPr>
                <w:b w:val="0"/>
                <w:sz w:val="22"/>
                <w:szCs w:val="22"/>
              </w:rPr>
              <w:t xml:space="preserve"> </w:t>
            </w:r>
          </w:p>
          <w:p w:rsidR="00656021" w:rsidRPr="000664FE" w:rsidRDefault="00424CBB" w:rsidP="00424CBB">
            <w:pPr>
              <w:pStyle w:val="Title"/>
              <w:jc w:val="left"/>
              <w:rPr>
                <w:b w:val="0"/>
                <w:sz w:val="22"/>
                <w:szCs w:val="22"/>
              </w:rPr>
            </w:pPr>
            <w:r w:rsidRPr="00424CBB">
              <w:rPr>
                <w:b w:val="0"/>
                <w:sz w:val="22"/>
                <w:szCs w:val="22"/>
              </w:rPr>
              <w:t>However, earlier docetaxel has only recently become standard practice in England, and even more recently in Wales and as such we cannot be certain that its adoption equates to standard practice.</w:t>
            </w:r>
          </w:p>
        </w:tc>
        <w:tc>
          <w:tcPr>
            <w:tcW w:w="2584" w:type="dxa"/>
          </w:tcPr>
          <w:p w:rsidR="00656021" w:rsidRPr="000664FE" w:rsidRDefault="004C458E" w:rsidP="00FC43C0">
            <w:pPr>
              <w:pStyle w:val="Title"/>
              <w:jc w:val="left"/>
              <w:rPr>
                <w:b w:val="0"/>
                <w:sz w:val="22"/>
                <w:szCs w:val="22"/>
              </w:rPr>
            </w:pPr>
            <w:r>
              <w:rPr>
                <w:b w:val="0"/>
                <w:sz w:val="22"/>
                <w:szCs w:val="22"/>
              </w:rPr>
              <w:t>Comment noted.</w:t>
            </w:r>
            <w:r w:rsidR="004C2CDC">
              <w:rPr>
                <w:b w:val="0"/>
                <w:sz w:val="22"/>
                <w:szCs w:val="22"/>
              </w:rPr>
              <w:t xml:space="preserve"> </w:t>
            </w:r>
          </w:p>
        </w:tc>
      </w:tr>
      <w:tr w:rsidR="00656021" w:rsidRPr="000664FE" w:rsidTr="00240058">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6E4434" w:rsidP="000664FE">
            <w:pPr>
              <w:pStyle w:val="Title"/>
              <w:jc w:val="left"/>
              <w:rPr>
                <w:b w:val="0"/>
                <w:sz w:val="22"/>
                <w:szCs w:val="22"/>
              </w:rPr>
            </w:pPr>
            <w:r w:rsidRPr="006E4434">
              <w:rPr>
                <w:b w:val="0"/>
                <w:sz w:val="22"/>
                <w:szCs w:val="22"/>
              </w:rPr>
              <w:t>No Comments</w:t>
            </w:r>
          </w:p>
        </w:tc>
        <w:tc>
          <w:tcPr>
            <w:tcW w:w="2584" w:type="dxa"/>
          </w:tcPr>
          <w:p w:rsidR="00656021" w:rsidRPr="000664FE" w:rsidRDefault="004C2CDC" w:rsidP="000664FE">
            <w:pPr>
              <w:pStyle w:val="Title"/>
              <w:jc w:val="left"/>
              <w:rPr>
                <w:b w:val="0"/>
                <w:sz w:val="22"/>
                <w:szCs w:val="22"/>
              </w:rPr>
            </w:pPr>
            <w:r>
              <w:rPr>
                <w:b w:val="0"/>
                <w:sz w:val="22"/>
                <w:szCs w:val="22"/>
              </w:rPr>
              <w:t>Comment noted.</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t>Outcomes</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As far as I can tell</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EC0E27">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6E4434" w:rsidP="000664FE">
            <w:pPr>
              <w:pStyle w:val="Title"/>
              <w:jc w:val="left"/>
              <w:rPr>
                <w:b w:val="0"/>
                <w:sz w:val="22"/>
                <w:szCs w:val="22"/>
              </w:rPr>
            </w:pPr>
            <w:r w:rsidRPr="006E4434">
              <w:rPr>
                <w:b w:val="0"/>
                <w:sz w:val="22"/>
                <w:szCs w:val="22"/>
              </w:rPr>
              <w:t>Janssen suggest that “response rate” is not generally used as an outcome measure in advanced prostate cancer as prostate metastases, particularly bone metastases, generally do not show radiological responses to a treatment, even though overall the treatment may be working.</w:t>
            </w:r>
          </w:p>
        </w:tc>
        <w:tc>
          <w:tcPr>
            <w:tcW w:w="2584" w:type="dxa"/>
          </w:tcPr>
          <w:p w:rsidR="00656021" w:rsidRPr="000664FE" w:rsidRDefault="004C2CDC" w:rsidP="000664FE">
            <w:pPr>
              <w:pStyle w:val="Title"/>
              <w:jc w:val="left"/>
              <w:rPr>
                <w:b w:val="0"/>
                <w:sz w:val="22"/>
                <w:szCs w:val="22"/>
              </w:rPr>
            </w:pPr>
            <w:r>
              <w:rPr>
                <w:b w:val="0"/>
                <w:sz w:val="22"/>
                <w:szCs w:val="22"/>
              </w:rPr>
              <w:t>Co</w:t>
            </w:r>
            <w:r w:rsidRPr="00F9246E">
              <w:rPr>
                <w:b w:val="0"/>
                <w:sz w:val="22"/>
                <w:szCs w:val="22"/>
              </w:rPr>
              <w:t xml:space="preserve">mment noted. Response rate has been removed from the outcome measures. </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t>Economic analysis</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None</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EC0E27">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6E4434" w:rsidP="000664FE">
            <w:pPr>
              <w:pStyle w:val="Title"/>
              <w:jc w:val="left"/>
              <w:rPr>
                <w:b w:val="0"/>
                <w:sz w:val="22"/>
                <w:szCs w:val="22"/>
              </w:rPr>
            </w:pPr>
            <w:r w:rsidRPr="006E4434">
              <w:rPr>
                <w:b w:val="0"/>
                <w:sz w:val="22"/>
                <w:szCs w:val="22"/>
              </w:rPr>
              <w:t>No comment</w:t>
            </w:r>
          </w:p>
        </w:tc>
        <w:tc>
          <w:tcPr>
            <w:tcW w:w="2584" w:type="dxa"/>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lastRenderedPageBreak/>
              <w:t>Equality and Diversity</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There are no equality considerations in this scoping document</w:t>
            </w:r>
          </w:p>
        </w:tc>
        <w:tc>
          <w:tcPr>
            <w:tcW w:w="2584" w:type="dxa"/>
            <w:tcBorders>
              <w:top w:val="single" w:sz="12" w:space="0" w:color="auto"/>
            </w:tcBorders>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EC0E27">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6E4434" w:rsidP="000664FE">
            <w:pPr>
              <w:pStyle w:val="Title"/>
              <w:jc w:val="left"/>
              <w:rPr>
                <w:b w:val="0"/>
                <w:sz w:val="22"/>
                <w:szCs w:val="22"/>
              </w:rPr>
            </w:pPr>
            <w:r w:rsidRPr="006E4434">
              <w:rPr>
                <w:b w:val="0"/>
                <w:sz w:val="22"/>
                <w:szCs w:val="22"/>
              </w:rPr>
              <w:t>No comment</w:t>
            </w:r>
          </w:p>
        </w:tc>
        <w:tc>
          <w:tcPr>
            <w:tcW w:w="2584" w:type="dxa"/>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656021">
        <w:tc>
          <w:tcPr>
            <w:tcW w:w="1951" w:type="dxa"/>
            <w:vMerge w:val="restart"/>
            <w:tcBorders>
              <w:top w:val="single" w:sz="12" w:space="0" w:color="auto"/>
            </w:tcBorders>
          </w:tcPr>
          <w:p w:rsidR="00656021" w:rsidRPr="000664FE" w:rsidRDefault="00DA2DF8" w:rsidP="00DA2DF8">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424CBB" w:rsidRPr="00424CBB" w:rsidRDefault="00424CBB" w:rsidP="00424CBB">
            <w:pPr>
              <w:pStyle w:val="Title"/>
              <w:jc w:val="left"/>
              <w:rPr>
                <w:b w:val="0"/>
                <w:sz w:val="22"/>
                <w:szCs w:val="22"/>
              </w:rPr>
            </w:pPr>
            <w:r w:rsidRPr="00424CBB">
              <w:rPr>
                <w:b w:val="0"/>
                <w:sz w:val="22"/>
                <w:szCs w:val="22"/>
              </w:rPr>
              <w:t>As suggested earlier:</w:t>
            </w:r>
          </w:p>
          <w:p w:rsidR="00656021" w:rsidRPr="000664FE" w:rsidRDefault="00424CBB" w:rsidP="00424CBB">
            <w:pPr>
              <w:pStyle w:val="Title"/>
              <w:jc w:val="left"/>
              <w:rPr>
                <w:b w:val="0"/>
                <w:sz w:val="22"/>
                <w:szCs w:val="22"/>
              </w:rPr>
            </w:pPr>
            <w:r w:rsidRPr="00424CBB">
              <w:rPr>
                <w:b w:val="0"/>
                <w:sz w:val="22"/>
                <w:szCs w:val="22"/>
              </w:rPr>
              <w:t>The implications for downstream treatment if and when Abiraterone fails need to be addressed</w:t>
            </w:r>
          </w:p>
        </w:tc>
        <w:tc>
          <w:tcPr>
            <w:tcW w:w="2584" w:type="dxa"/>
            <w:tcBorders>
              <w:top w:val="single" w:sz="12" w:space="0" w:color="auto"/>
            </w:tcBorders>
          </w:tcPr>
          <w:p w:rsidR="00656021" w:rsidRPr="000664FE" w:rsidRDefault="004C2CDC" w:rsidP="006F0E43">
            <w:pPr>
              <w:pStyle w:val="Title"/>
              <w:jc w:val="left"/>
              <w:rPr>
                <w:b w:val="0"/>
                <w:sz w:val="22"/>
                <w:szCs w:val="22"/>
              </w:rPr>
            </w:pPr>
            <w:r>
              <w:rPr>
                <w:b w:val="0"/>
                <w:sz w:val="22"/>
                <w:szCs w:val="22"/>
              </w:rPr>
              <w:t>Comment noted.</w:t>
            </w:r>
            <w:r w:rsidR="006F0E43">
              <w:rPr>
                <w:b w:val="0"/>
                <w:sz w:val="22"/>
                <w:szCs w:val="22"/>
              </w:rPr>
              <w:t xml:space="preserve"> This will be a single technology appraisal focused on newly diagnosed patients. It would be beyond the appraisal remit to make recommendations for subsequent treatment.</w:t>
            </w:r>
          </w:p>
        </w:tc>
      </w:tr>
      <w:tr w:rsidR="00656021" w:rsidRPr="000664FE" w:rsidTr="00656021">
        <w:tc>
          <w:tcPr>
            <w:tcW w:w="1951" w:type="dxa"/>
            <w:vMerge/>
            <w:tcBorders>
              <w:top w:val="single" w:sz="12" w:space="0" w:color="auto"/>
            </w:tcBorders>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3D31FF" w:rsidP="000664FE">
            <w:pPr>
              <w:pStyle w:val="Title"/>
              <w:jc w:val="left"/>
              <w:rPr>
                <w:b w:val="0"/>
                <w:sz w:val="22"/>
                <w:szCs w:val="22"/>
              </w:rPr>
            </w:pPr>
            <w:r w:rsidRPr="003D31FF">
              <w:rPr>
                <w:b w:val="0"/>
                <w:sz w:val="22"/>
                <w:szCs w:val="22"/>
              </w:rPr>
              <w:t>No comment</w:t>
            </w:r>
          </w:p>
        </w:tc>
        <w:tc>
          <w:tcPr>
            <w:tcW w:w="2584" w:type="dxa"/>
          </w:tcPr>
          <w:p w:rsidR="00656021" w:rsidRPr="000664FE" w:rsidRDefault="004C458E" w:rsidP="000664FE">
            <w:pPr>
              <w:pStyle w:val="Title"/>
              <w:jc w:val="left"/>
              <w:rPr>
                <w:b w:val="0"/>
                <w:sz w:val="22"/>
                <w:szCs w:val="22"/>
              </w:rPr>
            </w:pPr>
            <w:r>
              <w:rPr>
                <w:b w:val="0"/>
                <w:sz w:val="22"/>
                <w:szCs w:val="22"/>
              </w:rPr>
              <w:t>Comment noted.</w:t>
            </w:r>
          </w:p>
        </w:tc>
      </w:tr>
      <w:tr w:rsidR="00656021" w:rsidRPr="000664FE" w:rsidTr="00EC0E27">
        <w:tc>
          <w:tcPr>
            <w:tcW w:w="1951" w:type="dxa"/>
            <w:vMerge w:val="restart"/>
          </w:tcPr>
          <w:p w:rsidR="00656021" w:rsidRPr="000664FE" w:rsidRDefault="00DA2DF8" w:rsidP="00240058">
            <w:pPr>
              <w:pStyle w:val="Title"/>
              <w:jc w:val="left"/>
              <w:rPr>
                <w:b w:val="0"/>
                <w:sz w:val="22"/>
                <w:szCs w:val="22"/>
              </w:rPr>
            </w:pPr>
            <w:r w:rsidRPr="000664FE">
              <w:rPr>
                <w:b w:val="0"/>
                <w:sz w:val="22"/>
                <w:szCs w:val="22"/>
              </w:rPr>
              <w:t>Innovation</w:t>
            </w:r>
          </w:p>
        </w:tc>
        <w:tc>
          <w:tcPr>
            <w:tcW w:w="1843" w:type="dxa"/>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Pr>
          <w:p w:rsidR="00656021" w:rsidRPr="000664FE" w:rsidRDefault="00424CBB" w:rsidP="000664FE">
            <w:pPr>
              <w:pStyle w:val="Title"/>
              <w:jc w:val="left"/>
              <w:rPr>
                <w:b w:val="0"/>
                <w:sz w:val="22"/>
                <w:szCs w:val="22"/>
              </w:rPr>
            </w:pPr>
            <w:r w:rsidRPr="00424CBB">
              <w:rPr>
                <w:b w:val="0"/>
                <w:sz w:val="22"/>
                <w:szCs w:val="22"/>
              </w:rPr>
              <w:t>As there is no data yet, it is difficult to say, but this could be a very significant development. It could give a very important new avenue for the treatment of advanced prostate cancer.</w:t>
            </w:r>
          </w:p>
        </w:tc>
        <w:tc>
          <w:tcPr>
            <w:tcW w:w="2584" w:type="dxa"/>
          </w:tcPr>
          <w:p w:rsidR="00656021" w:rsidRPr="000664FE" w:rsidRDefault="004C2CDC" w:rsidP="00F55551">
            <w:pPr>
              <w:pStyle w:val="Title"/>
              <w:jc w:val="left"/>
              <w:rPr>
                <w:b w:val="0"/>
                <w:sz w:val="22"/>
                <w:szCs w:val="22"/>
              </w:rPr>
            </w:pPr>
            <w:r>
              <w:rPr>
                <w:b w:val="0"/>
                <w:sz w:val="22"/>
                <w:szCs w:val="22"/>
              </w:rPr>
              <w:t xml:space="preserve">Comment noted. The potential innovative aspects of the technology will be considered in </w:t>
            </w:r>
            <w:r w:rsidR="00F55551">
              <w:rPr>
                <w:b w:val="0"/>
                <w:sz w:val="22"/>
                <w:szCs w:val="22"/>
              </w:rPr>
              <w:t xml:space="preserve">the </w:t>
            </w:r>
            <w:r>
              <w:rPr>
                <w:b w:val="0"/>
                <w:sz w:val="22"/>
                <w:szCs w:val="22"/>
              </w:rPr>
              <w:t xml:space="preserve">appraisal. </w:t>
            </w:r>
          </w:p>
        </w:tc>
      </w:tr>
      <w:tr w:rsidR="00656021" w:rsidRPr="000664FE" w:rsidTr="00EC0E27">
        <w:tc>
          <w:tcPr>
            <w:tcW w:w="1951" w:type="dxa"/>
            <w:vMerge/>
          </w:tcPr>
          <w:p w:rsidR="00656021" w:rsidRPr="000664FE" w:rsidRDefault="00656021" w:rsidP="00240058">
            <w:pPr>
              <w:pStyle w:val="Title"/>
              <w:jc w:val="left"/>
              <w:rPr>
                <w:b w:val="0"/>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3D31FF" w:rsidRPr="003D31FF" w:rsidRDefault="003D31FF" w:rsidP="003D31FF">
            <w:pPr>
              <w:pStyle w:val="Title"/>
              <w:jc w:val="left"/>
              <w:rPr>
                <w:b w:val="0"/>
                <w:sz w:val="22"/>
                <w:szCs w:val="22"/>
              </w:rPr>
            </w:pPr>
            <w:r w:rsidRPr="003D31FF">
              <w:rPr>
                <w:b w:val="0"/>
                <w:sz w:val="22"/>
                <w:szCs w:val="22"/>
              </w:rPr>
              <w:t xml:space="preserve">Abiraterone is the first novel agent to be licensed for the treatment of adults with newly diagnosed high-risk mHNPC. </w:t>
            </w:r>
          </w:p>
          <w:p w:rsidR="003D31FF" w:rsidRPr="003D31FF" w:rsidRDefault="003D31FF" w:rsidP="003D31FF">
            <w:pPr>
              <w:pStyle w:val="Title"/>
              <w:jc w:val="left"/>
              <w:rPr>
                <w:b w:val="0"/>
                <w:sz w:val="22"/>
                <w:szCs w:val="22"/>
              </w:rPr>
            </w:pPr>
            <w:r w:rsidRPr="003D31FF">
              <w:rPr>
                <w:b w:val="0"/>
                <w:sz w:val="22"/>
                <w:szCs w:val="22"/>
              </w:rPr>
              <w:t xml:space="preserve">Abiraterone is an oral medication with a unique mechanism of action, blocking testosterone production at three sites of androgen synthesis, which </w:t>
            </w:r>
            <w:r w:rsidRPr="003D31FF">
              <w:rPr>
                <w:b w:val="0"/>
                <w:sz w:val="22"/>
                <w:szCs w:val="22"/>
              </w:rPr>
              <w:lastRenderedPageBreak/>
              <w:t xml:space="preserve">will provide an alternative therapy to patients who are willing to take their treatment at home. </w:t>
            </w:r>
          </w:p>
          <w:p w:rsidR="003D31FF" w:rsidRPr="003D31FF" w:rsidRDefault="003D31FF" w:rsidP="003D31FF">
            <w:pPr>
              <w:pStyle w:val="Title"/>
              <w:jc w:val="left"/>
              <w:rPr>
                <w:b w:val="0"/>
                <w:sz w:val="22"/>
                <w:szCs w:val="22"/>
              </w:rPr>
            </w:pPr>
            <w:r w:rsidRPr="003D31FF">
              <w:rPr>
                <w:b w:val="0"/>
                <w:sz w:val="22"/>
                <w:szCs w:val="22"/>
              </w:rPr>
              <w:t xml:space="preserve">Abiraterone is generally well tolerated and is likely to offer patient benefits such as not having to travel to hospital for treatment and not having to have undergo i/v infusions which are unlikely to be accounted for in the in the QALY calculation. </w:t>
            </w:r>
          </w:p>
          <w:p w:rsidR="003D31FF" w:rsidRPr="003D31FF" w:rsidRDefault="003D31FF" w:rsidP="003D31FF">
            <w:pPr>
              <w:pStyle w:val="Title"/>
              <w:jc w:val="left"/>
              <w:rPr>
                <w:b w:val="0"/>
                <w:sz w:val="22"/>
                <w:szCs w:val="22"/>
              </w:rPr>
            </w:pPr>
            <w:r w:rsidRPr="003D31FF">
              <w:rPr>
                <w:b w:val="0"/>
                <w:sz w:val="22"/>
                <w:szCs w:val="22"/>
              </w:rPr>
              <w:t>Assessment of these QALY benefits may be taken via patient interviews and/or a patient preference study.</w:t>
            </w:r>
          </w:p>
          <w:p w:rsidR="003D31FF" w:rsidRPr="003D31FF" w:rsidRDefault="003D31FF" w:rsidP="003D31FF">
            <w:pPr>
              <w:pStyle w:val="Title"/>
              <w:jc w:val="left"/>
              <w:rPr>
                <w:b w:val="0"/>
                <w:sz w:val="22"/>
                <w:szCs w:val="22"/>
              </w:rPr>
            </w:pPr>
            <w:r w:rsidRPr="003D31FF">
              <w:rPr>
                <w:b w:val="0"/>
                <w:sz w:val="22"/>
                <w:szCs w:val="22"/>
              </w:rPr>
              <w:t xml:space="preserve">Furthermore, although use of docetaxel is commission by NHS England, there is no health-related quality of life data (HRQoL) available to describe the impact of using docetaxel in combination with ADT in this population. </w:t>
            </w:r>
          </w:p>
          <w:p w:rsidR="00656021" w:rsidRPr="000664FE" w:rsidRDefault="003D31FF" w:rsidP="003D31FF">
            <w:pPr>
              <w:pStyle w:val="Title"/>
              <w:jc w:val="left"/>
              <w:rPr>
                <w:b w:val="0"/>
                <w:sz w:val="22"/>
                <w:szCs w:val="22"/>
              </w:rPr>
            </w:pPr>
            <w:r w:rsidRPr="003D31FF">
              <w:rPr>
                <w:b w:val="0"/>
                <w:sz w:val="22"/>
                <w:szCs w:val="22"/>
              </w:rPr>
              <w:t>Assessment of newly diagnosed mHNPC patient’s HRQoL on docetaxel may be taken from an on-going utility study commissioned by Janssen.</w:t>
            </w:r>
          </w:p>
        </w:tc>
        <w:tc>
          <w:tcPr>
            <w:tcW w:w="2584" w:type="dxa"/>
          </w:tcPr>
          <w:p w:rsidR="00656021" w:rsidRPr="000664FE" w:rsidRDefault="004C2CDC" w:rsidP="00F55551">
            <w:pPr>
              <w:pStyle w:val="Title"/>
              <w:jc w:val="left"/>
              <w:rPr>
                <w:b w:val="0"/>
                <w:sz w:val="22"/>
                <w:szCs w:val="22"/>
              </w:rPr>
            </w:pPr>
            <w:r>
              <w:rPr>
                <w:b w:val="0"/>
                <w:sz w:val="22"/>
                <w:szCs w:val="22"/>
              </w:rPr>
              <w:lastRenderedPageBreak/>
              <w:t xml:space="preserve">Comment noted. The potential innovative aspects of the technology will be </w:t>
            </w:r>
            <w:r>
              <w:rPr>
                <w:b w:val="0"/>
                <w:sz w:val="22"/>
                <w:szCs w:val="22"/>
              </w:rPr>
              <w:lastRenderedPageBreak/>
              <w:t xml:space="preserve">considered in </w:t>
            </w:r>
            <w:r w:rsidR="00F55551">
              <w:rPr>
                <w:b w:val="0"/>
                <w:sz w:val="22"/>
                <w:szCs w:val="22"/>
              </w:rPr>
              <w:t xml:space="preserve">the </w:t>
            </w:r>
            <w:r>
              <w:rPr>
                <w:b w:val="0"/>
                <w:sz w:val="22"/>
                <w:szCs w:val="22"/>
              </w:rPr>
              <w:t>appraisal.</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lastRenderedPageBreak/>
              <w:t>Questions for consultation</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None</w:t>
            </w:r>
          </w:p>
        </w:tc>
        <w:tc>
          <w:tcPr>
            <w:tcW w:w="2584" w:type="dxa"/>
            <w:tcBorders>
              <w:top w:val="single" w:sz="12" w:space="0" w:color="auto"/>
            </w:tcBorders>
          </w:tcPr>
          <w:p w:rsidR="00656021" w:rsidRPr="000664FE" w:rsidRDefault="004C2CDC" w:rsidP="000664FE">
            <w:pPr>
              <w:pStyle w:val="Title"/>
              <w:jc w:val="left"/>
              <w:rPr>
                <w:b w:val="0"/>
                <w:sz w:val="22"/>
                <w:szCs w:val="22"/>
              </w:rPr>
            </w:pPr>
            <w:r>
              <w:rPr>
                <w:b w:val="0"/>
                <w:sz w:val="22"/>
                <w:szCs w:val="22"/>
              </w:rPr>
              <w:t>Comment noted.</w:t>
            </w:r>
          </w:p>
        </w:tc>
      </w:tr>
      <w:tr w:rsidR="00656021" w:rsidRPr="000664FE" w:rsidTr="00EC0E27">
        <w:tc>
          <w:tcPr>
            <w:tcW w:w="1951" w:type="dxa"/>
            <w:vMerge/>
          </w:tcPr>
          <w:p w:rsidR="00656021" w:rsidRPr="000664FE" w:rsidRDefault="00656021" w:rsidP="00240058">
            <w:pPr>
              <w:pStyle w:val="Title"/>
              <w:jc w:val="left"/>
              <w:rPr>
                <w:sz w:val="22"/>
                <w:szCs w:val="22"/>
              </w:rPr>
            </w:pPr>
          </w:p>
        </w:tc>
        <w:tc>
          <w:tcPr>
            <w:tcW w:w="1843" w:type="dxa"/>
          </w:tcPr>
          <w:p w:rsidR="00656021" w:rsidRPr="000664FE" w:rsidRDefault="00C83C5E" w:rsidP="000664FE">
            <w:pPr>
              <w:pStyle w:val="Title"/>
              <w:jc w:val="left"/>
              <w:rPr>
                <w:b w:val="0"/>
                <w:sz w:val="22"/>
                <w:szCs w:val="22"/>
              </w:rPr>
            </w:pPr>
            <w:r w:rsidRPr="00C83C5E">
              <w:rPr>
                <w:b w:val="0"/>
                <w:sz w:val="22"/>
                <w:szCs w:val="22"/>
              </w:rPr>
              <w:t>Prostate Cancer UK</w:t>
            </w:r>
          </w:p>
        </w:tc>
        <w:tc>
          <w:tcPr>
            <w:tcW w:w="7796" w:type="dxa"/>
          </w:tcPr>
          <w:p w:rsidR="00424CBB" w:rsidRPr="00424CBB" w:rsidRDefault="00424CBB" w:rsidP="00424CBB">
            <w:pPr>
              <w:pStyle w:val="Title"/>
              <w:jc w:val="left"/>
              <w:rPr>
                <w:b w:val="0"/>
                <w:sz w:val="22"/>
                <w:szCs w:val="22"/>
              </w:rPr>
            </w:pPr>
            <w:r w:rsidRPr="00424CBB">
              <w:rPr>
                <w:b w:val="0"/>
                <w:sz w:val="22"/>
                <w:szCs w:val="22"/>
              </w:rPr>
              <w:t xml:space="preserve">Regarding all relevant comparators for abiraterone, we consider that these have been adequately covered. </w:t>
            </w:r>
          </w:p>
          <w:p w:rsidR="00424CBB" w:rsidRPr="00424CBB" w:rsidRDefault="00424CBB" w:rsidP="00424CBB">
            <w:pPr>
              <w:pStyle w:val="Title"/>
              <w:jc w:val="left"/>
              <w:rPr>
                <w:b w:val="0"/>
                <w:sz w:val="22"/>
                <w:szCs w:val="22"/>
              </w:rPr>
            </w:pPr>
            <w:r w:rsidRPr="00424CBB">
              <w:rPr>
                <w:b w:val="0"/>
                <w:sz w:val="22"/>
                <w:szCs w:val="22"/>
              </w:rPr>
              <w:t>Even though we don’t think degarelix is a comparator, we would consider that it is comparable with ‘androgen deprivation therapy alone’ as already mentioned in the ‘Comparators’ section of the draft scope. However we do note that the group of men with whom degarelix is used tend to be more advanced with widespread metastasis involving high risk of spinal cord compression or obstructive uropathy.</w:t>
            </w:r>
          </w:p>
          <w:p w:rsidR="00424CBB" w:rsidRPr="00424CBB" w:rsidRDefault="00424CBB" w:rsidP="00424CBB">
            <w:pPr>
              <w:pStyle w:val="Title"/>
              <w:jc w:val="left"/>
              <w:rPr>
                <w:b w:val="0"/>
                <w:sz w:val="22"/>
                <w:szCs w:val="22"/>
              </w:rPr>
            </w:pPr>
            <w:r w:rsidRPr="00424CBB">
              <w:rPr>
                <w:b w:val="0"/>
                <w:sz w:val="22"/>
                <w:szCs w:val="22"/>
              </w:rPr>
              <w:lastRenderedPageBreak/>
              <w:t>Based on the proposals in this consultation, we consider that abiraterone would fit alongside first-line hormone therapies (ADT) and docetaxel for the treatment of hormone naïve metastatic prostate cancer.</w:t>
            </w:r>
          </w:p>
          <w:p w:rsidR="00424CBB" w:rsidRPr="00424CBB" w:rsidRDefault="00424CBB" w:rsidP="00424CBB">
            <w:pPr>
              <w:pStyle w:val="Title"/>
              <w:jc w:val="left"/>
              <w:rPr>
                <w:b w:val="0"/>
                <w:sz w:val="22"/>
                <w:szCs w:val="22"/>
              </w:rPr>
            </w:pPr>
            <w:r w:rsidRPr="00424CBB">
              <w:rPr>
                <w:b w:val="0"/>
                <w:sz w:val="22"/>
                <w:szCs w:val="22"/>
              </w:rPr>
              <w:t>Use of abiraterone at this point in the pathway, as proposed, would potentially be innovative by providing patients with greater treatment choice.</w:t>
            </w:r>
          </w:p>
          <w:p w:rsidR="00424CBB" w:rsidRPr="00424CBB" w:rsidRDefault="00424CBB" w:rsidP="00424CBB">
            <w:pPr>
              <w:pStyle w:val="Title"/>
              <w:jc w:val="left"/>
              <w:rPr>
                <w:b w:val="0"/>
                <w:sz w:val="22"/>
                <w:szCs w:val="22"/>
              </w:rPr>
            </w:pPr>
            <w:r w:rsidRPr="00424CBB">
              <w:rPr>
                <w:b w:val="0"/>
                <w:sz w:val="22"/>
                <w:szCs w:val="22"/>
              </w:rPr>
              <w:t>This is important as it improves the ability for careful selection of the right treatment for the right patient. For example, for hormone resistant men there is the option of both abiraterone and enzalutamide. The side effect profile of each drug is different and has to be considered in order to determine the best treatment choice for the patient.</w:t>
            </w:r>
          </w:p>
          <w:p w:rsidR="00424CBB" w:rsidRPr="00424CBB" w:rsidRDefault="00424CBB" w:rsidP="00424CBB">
            <w:pPr>
              <w:pStyle w:val="Title"/>
              <w:jc w:val="left"/>
              <w:rPr>
                <w:b w:val="0"/>
                <w:sz w:val="22"/>
                <w:szCs w:val="22"/>
              </w:rPr>
            </w:pPr>
            <w:r w:rsidRPr="00424CBB">
              <w:rPr>
                <w:b w:val="0"/>
                <w:sz w:val="22"/>
                <w:szCs w:val="22"/>
              </w:rPr>
              <w:t>Taxanes such as docetaxel carry a risk of peripheral neuropathy - which can be life changing. If abiraterone was moved to earlier in the pathway for use alongside ADT, as with docetaxel, this would present a treatment option not associated with this risk. This would improve the current situation by enabling the clinician to make a treatment choice based on the best option for the patient.</w:t>
            </w:r>
          </w:p>
          <w:p w:rsidR="00656021" w:rsidRPr="000664FE" w:rsidRDefault="00424CBB" w:rsidP="00424CBB">
            <w:pPr>
              <w:pStyle w:val="Title"/>
              <w:jc w:val="left"/>
              <w:rPr>
                <w:b w:val="0"/>
                <w:sz w:val="22"/>
                <w:szCs w:val="22"/>
              </w:rPr>
            </w:pPr>
            <w:r w:rsidRPr="00424CBB">
              <w:rPr>
                <w:b w:val="0"/>
                <w:sz w:val="22"/>
                <w:szCs w:val="22"/>
              </w:rPr>
              <w:t>However, without the ability to compare clinical benefit between abiraterone and current standard practice and without knowing details of the specific patient population that participated in the trial, it is difficult to be certain of comparators. As such our agreement that the comparator is docetaxel may be refined when more data becomes available</w:t>
            </w:r>
          </w:p>
        </w:tc>
        <w:tc>
          <w:tcPr>
            <w:tcW w:w="2584" w:type="dxa"/>
          </w:tcPr>
          <w:p w:rsidR="00656021" w:rsidRPr="000664FE" w:rsidRDefault="004C2CDC" w:rsidP="000664FE">
            <w:pPr>
              <w:pStyle w:val="Title"/>
              <w:jc w:val="left"/>
              <w:rPr>
                <w:b w:val="0"/>
                <w:sz w:val="22"/>
                <w:szCs w:val="22"/>
              </w:rPr>
            </w:pPr>
            <w:r>
              <w:rPr>
                <w:b w:val="0"/>
                <w:sz w:val="22"/>
                <w:szCs w:val="22"/>
              </w:rPr>
              <w:lastRenderedPageBreak/>
              <w:t>Comment</w:t>
            </w:r>
            <w:r w:rsidR="0070350A">
              <w:rPr>
                <w:b w:val="0"/>
                <w:sz w:val="22"/>
                <w:szCs w:val="22"/>
              </w:rPr>
              <w:t>s</w:t>
            </w:r>
            <w:r>
              <w:rPr>
                <w:b w:val="0"/>
                <w:sz w:val="22"/>
                <w:szCs w:val="22"/>
              </w:rPr>
              <w:t xml:space="preserve"> noted.</w:t>
            </w:r>
          </w:p>
        </w:tc>
      </w:tr>
      <w:tr w:rsidR="00656021" w:rsidRPr="000664FE" w:rsidTr="00EC0E27">
        <w:tc>
          <w:tcPr>
            <w:tcW w:w="1951" w:type="dxa"/>
            <w:vMerge/>
          </w:tcPr>
          <w:p w:rsidR="00656021" w:rsidRPr="000664FE" w:rsidRDefault="00656021" w:rsidP="00240058">
            <w:pPr>
              <w:pStyle w:val="Title"/>
              <w:jc w:val="left"/>
              <w:rPr>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3D31FF" w:rsidP="000664FE">
            <w:pPr>
              <w:pStyle w:val="Title"/>
              <w:jc w:val="left"/>
              <w:rPr>
                <w:b w:val="0"/>
                <w:sz w:val="22"/>
                <w:szCs w:val="22"/>
              </w:rPr>
            </w:pPr>
            <w:r w:rsidRPr="003D31FF">
              <w:rPr>
                <w:b w:val="0"/>
                <w:sz w:val="22"/>
                <w:szCs w:val="22"/>
              </w:rPr>
              <w:t>Janssen believes that degarelix could not be considered as a comparator, as it would imply that a comparison is made between abiraterone with prednisone or prednisolone + degarelix vs degarelix alone. However, there is currently no data regarding the combined use of abiraterone and degarelix in that specific population.</w:t>
            </w:r>
          </w:p>
        </w:tc>
        <w:tc>
          <w:tcPr>
            <w:tcW w:w="2584" w:type="dxa"/>
          </w:tcPr>
          <w:p w:rsidR="00656021" w:rsidRPr="000664FE" w:rsidRDefault="00F9246E" w:rsidP="009B4D41">
            <w:pPr>
              <w:pStyle w:val="Title"/>
              <w:jc w:val="left"/>
              <w:rPr>
                <w:b w:val="0"/>
                <w:sz w:val="22"/>
                <w:szCs w:val="22"/>
              </w:rPr>
            </w:pPr>
            <w:r>
              <w:rPr>
                <w:b w:val="0"/>
                <w:sz w:val="22"/>
                <w:szCs w:val="22"/>
              </w:rPr>
              <w:t>Comment noted.</w:t>
            </w:r>
          </w:p>
        </w:tc>
      </w:tr>
      <w:tr w:rsidR="00656021" w:rsidRPr="000664FE" w:rsidTr="00656021">
        <w:tc>
          <w:tcPr>
            <w:tcW w:w="1951" w:type="dxa"/>
            <w:vMerge w:val="restart"/>
            <w:tcBorders>
              <w:top w:val="single" w:sz="12" w:space="0" w:color="auto"/>
            </w:tcBorders>
          </w:tcPr>
          <w:p w:rsidR="00656021" w:rsidRPr="000664FE" w:rsidRDefault="00656021" w:rsidP="00240058">
            <w:pPr>
              <w:pStyle w:val="Title"/>
              <w:jc w:val="left"/>
              <w:rPr>
                <w:b w:val="0"/>
                <w:sz w:val="22"/>
                <w:szCs w:val="22"/>
              </w:rPr>
            </w:pPr>
            <w:r w:rsidRPr="000664FE">
              <w:rPr>
                <w:b w:val="0"/>
                <w:sz w:val="22"/>
                <w:szCs w:val="22"/>
              </w:rPr>
              <w:lastRenderedPageBreak/>
              <w:t>Additional comments on the draft scope</w:t>
            </w:r>
          </w:p>
        </w:tc>
        <w:tc>
          <w:tcPr>
            <w:tcW w:w="1843"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Tackle Prostate Cancer</w:t>
            </w:r>
          </w:p>
        </w:tc>
        <w:tc>
          <w:tcPr>
            <w:tcW w:w="7796" w:type="dxa"/>
            <w:tcBorders>
              <w:top w:val="single" w:sz="12" w:space="0" w:color="auto"/>
            </w:tcBorders>
          </w:tcPr>
          <w:p w:rsidR="00656021" w:rsidRPr="000664FE" w:rsidRDefault="00424CBB" w:rsidP="000664FE">
            <w:pPr>
              <w:pStyle w:val="Title"/>
              <w:jc w:val="left"/>
              <w:rPr>
                <w:b w:val="0"/>
                <w:sz w:val="22"/>
                <w:szCs w:val="22"/>
              </w:rPr>
            </w:pPr>
            <w:r w:rsidRPr="00424CBB">
              <w:rPr>
                <w:b w:val="0"/>
                <w:sz w:val="22"/>
                <w:szCs w:val="22"/>
              </w:rPr>
              <w:t>None</w:t>
            </w:r>
          </w:p>
        </w:tc>
        <w:tc>
          <w:tcPr>
            <w:tcW w:w="2584" w:type="dxa"/>
            <w:tcBorders>
              <w:top w:val="single" w:sz="12" w:space="0" w:color="auto"/>
            </w:tcBorders>
          </w:tcPr>
          <w:p w:rsidR="00656021" w:rsidRPr="000664FE" w:rsidRDefault="00656021" w:rsidP="000664FE">
            <w:pPr>
              <w:pStyle w:val="Title"/>
              <w:jc w:val="left"/>
              <w:rPr>
                <w:b w:val="0"/>
                <w:sz w:val="22"/>
                <w:szCs w:val="22"/>
              </w:rPr>
            </w:pPr>
          </w:p>
        </w:tc>
      </w:tr>
      <w:tr w:rsidR="00656021" w:rsidRPr="000664FE" w:rsidTr="00EC0E27">
        <w:tc>
          <w:tcPr>
            <w:tcW w:w="1951" w:type="dxa"/>
            <w:vMerge/>
          </w:tcPr>
          <w:p w:rsidR="00656021" w:rsidRPr="000664FE" w:rsidRDefault="00656021" w:rsidP="00240058">
            <w:pPr>
              <w:pStyle w:val="Title"/>
              <w:jc w:val="left"/>
              <w:rPr>
                <w:sz w:val="22"/>
                <w:szCs w:val="22"/>
              </w:rPr>
            </w:pPr>
          </w:p>
        </w:tc>
        <w:tc>
          <w:tcPr>
            <w:tcW w:w="1843" w:type="dxa"/>
          </w:tcPr>
          <w:p w:rsidR="00656021" w:rsidRPr="000664FE" w:rsidRDefault="00C83C5E" w:rsidP="000664FE">
            <w:pPr>
              <w:pStyle w:val="Title"/>
              <w:jc w:val="left"/>
              <w:rPr>
                <w:b w:val="0"/>
                <w:sz w:val="22"/>
                <w:szCs w:val="22"/>
              </w:rPr>
            </w:pPr>
            <w:r w:rsidRPr="00C83C5E">
              <w:rPr>
                <w:b w:val="0"/>
                <w:sz w:val="22"/>
                <w:szCs w:val="22"/>
              </w:rPr>
              <w:t>Prostate Cancer UK</w:t>
            </w:r>
          </w:p>
        </w:tc>
        <w:tc>
          <w:tcPr>
            <w:tcW w:w="7796" w:type="dxa"/>
          </w:tcPr>
          <w:p w:rsidR="00424CBB" w:rsidRPr="00424CBB" w:rsidRDefault="00424CBB" w:rsidP="00424CBB">
            <w:pPr>
              <w:pStyle w:val="Title"/>
              <w:jc w:val="left"/>
              <w:rPr>
                <w:b w:val="0"/>
                <w:sz w:val="22"/>
                <w:szCs w:val="22"/>
              </w:rPr>
            </w:pPr>
            <w:r w:rsidRPr="00424CBB">
              <w:rPr>
                <w:b w:val="0"/>
                <w:sz w:val="22"/>
                <w:szCs w:val="22"/>
              </w:rPr>
              <w:t xml:space="preserve">We welcome the timely consideration of abiraterone, based on emerging clinical evidence, for use earlier in the treatment pathway of newly diagnosed metastatic hormone-naïve prostate cancer. Providing that the findings of the clinical trial demonstrate clinical and cost-effectiveness, this approach should enable speedy and uniform adoption of this new indication. </w:t>
            </w:r>
          </w:p>
          <w:p w:rsidR="00424CBB" w:rsidRPr="00424CBB" w:rsidRDefault="00424CBB" w:rsidP="00424CBB">
            <w:pPr>
              <w:pStyle w:val="Title"/>
              <w:jc w:val="left"/>
              <w:rPr>
                <w:b w:val="0"/>
                <w:sz w:val="22"/>
                <w:szCs w:val="22"/>
              </w:rPr>
            </w:pPr>
            <w:r w:rsidRPr="00424CBB">
              <w:rPr>
                <w:b w:val="0"/>
                <w:sz w:val="22"/>
                <w:szCs w:val="22"/>
              </w:rPr>
              <w:t>We would welcome this timely approach to horizon scanning being applied to those treatments both on and off-patent which demonstrate clinical and cost-effectiveness at another point in the treatment pathway, such as the case with docetaxel.</w:t>
            </w:r>
          </w:p>
          <w:p w:rsidR="00656021" w:rsidRPr="000664FE" w:rsidRDefault="00424CBB" w:rsidP="00424CBB">
            <w:pPr>
              <w:pStyle w:val="Title"/>
              <w:jc w:val="left"/>
              <w:rPr>
                <w:b w:val="0"/>
                <w:sz w:val="22"/>
                <w:szCs w:val="22"/>
              </w:rPr>
            </w:pPr>
            <w:r w:rsidRPr="00424CBB">
              <w:rPr>
                <w:b w:val="0"/>
                <w:sz w:val="22"/>
                <w:szCs w:val="22"/>
              </w:rPr>
              <w:t>However we would also suggest that NICE be mindful of the next arm of the STAMPEDE trial (arm G), which is due to report in 2017, which looks at the same patient population as covered by this draft scope: abiraterone plus standard of care for men with hormone sensitive metastatic disease. This will likely broaden the evidence base for the treatment under consideration here, and therefore we suggest that NICE consider whether or not to delay appraisal for this indication, in light of this forthcoming trial data.</w:t>
            </w:r>
          </w:p>
        </w:tc>
        <w:tc>
          <w:tcPr>
            <w:tcW w:w="2584" w:type="dxa"/>
          </w:tcPr>
          <w:p w:rsidR="00656021" w:rsidRPr="000664FE" w:rsidRDefault="00F9246E" w:rsidP="000664FE">
            <w:pPr>
              <w:pStyle w:val="Title"/>
              <w:jc w:val="left"/>
              <w:rPr>
                <w:b w:val="0"/>
                <w:sz w:val="22"/>
                <w:szCs w:val="22"/>
              </w:rPr>
            </w:pPr>
            <w:r>
              <w:rPr>
                <w:b w:val="0"/>
                <w:sz w:val="22"/>
                <w:szCs w:val="22"/>
              </w:rPr>
              <w:t>Comment</w:t>
            </w:r>
            <w:r w:rsidR="0070350A">
              <w:rPr>
                <w:b w:val="0"/>
                <w:sz w:val="22"/>
                <w:szCs w:val="22"/>
              </w:rPr>
              <w:t>s</w:t>
            </w:r>
            <w:r>
              <w:rPr>
                <w:b w:val="0"/>
                <w:sz w:val="22"/>
                <w:szCs w:val="22"/>
              </w:rPr>
              <w:t xml:space="preserve"> noted. </w:t>
            </w:r>
          </w:p>
        </w:tc>
      </w:tr>
      <w:tr w:rsidR="00656021" w:rsidRPr="000664FE" w:rsidTr="00EC0E27">
        <w:tc>
          <w:tcPr>
            <w:tcW w:w="1951" w:type="dxa"/>
            <w:vMerge/>
          </w:tcPr>
          <w:p w:rsidR="00656021" w:rsidRPr="000664FE" w:rsidRDefault="00656021" w:rsidP="00240058">
            <w:pPr>
              <w:pStyle w:val="Title"/>
              <w:jc w:val="left"/>
              <w:rPr>
                <w:sz w:val="22"/>
                <w:szCs w:val="22"/>
              </w:rPr>
            </w:pPr>
          </w:p>
        </w:tc>
        <w:tc>
          <w:tcPr>
            <w:tcW w:w="1843" w:type="dxa"/>
          </w:tcPr>
          <w:p w:rsidR="00656021" w:rsidRPr="000664FE" w:rsidRDefault="003D31FF" w:rsidP="000664FE">
            <w:pPr>
              <w:pStyle w:val="Title"/>
              <w:jc w:val="left"/>
              <w:rPr>
                <w:b w:val="0"/>
                <w:sz w:val="22"/>
                <w:szCs w:val="22"/>
              </w:rPr>
            </w:pPr>
            <w:r>
              <w:rPr>
                <w:b w:val="0"/>
                <w:sz w:val="22"/>
                <w:szCs w:val="22"/>
              </w:rPr>
              <w:t>Janssen</w:t>
            </w:r>
          </w:p>
        </w:tc>
        <w:tc>
          <w:tcPr>
            <w:tcW w:w="7796" w:type="dxa"/>
          </w:tcPr>
          <w:p w:rsidR="00656021" w:rsidRPr="000664FE" w:rsidRDefault="003D31FF" w:rsidP="000664FE">
            <w:pPr>
              <w:pStyle w:val="Title"/>
              <w:jc w:val="left"/>
              <w:rPr>
                <w:b w:val="0"/>
                <w:sz w:val="22"/>
                <w:szCs w:val="22"/>
              </w:rPr>
            </w:pPr>
            <w:r w:rsidRPr="003D31FF">
              <w:rPr>
                <w:b w:val="0"/>
                <w:sz w:val="22"/>
                <w:szCs w:val="22"/>
              </w:rPr>
              <w:t>No additional comment</w:t>
            </w:r>
          </w:p>
        </w:tc>
        <w:tc>
          <w:tcPr>
            <w:tcW w:w="2584" w:type="dxa"/>
          </w:tcPr>
          <w:p w:rsidR="00656021" w:rsidRPr="000664FE" w:rsidRDefault="005265C0" w:rsidP="000664FE">
            <w:pPr>
              <w:pStyle w:val="Title"/>
              <w:jc w:val="left"/>
              <w:rPr>
                <w:b w:val="0"/>
                <w:sz w:val="22"/>
                <w:szCs w:val="22"/>
              </w:rPr>
            </w:pPr>
            <w:r>
              <w:rPr>
                <w:b w:val="0"/>
                <w:sz w:val="22"/>
                <w:szCs w:val="22"/>
              </w:rPr>
              <w:t>Comment noted.</w:t>
            </w:r>
          </w:p>
        </w:tc>
      </w:tr>
    </w:tbl>
    <w:p w:rsidR="00EC0E27" w:rsidRPr="006C542D" w:rsidRDefault="00EC0E27" w:rsidP="00EC0E27">
      <w:pPr>
        <w:keepNext/>
        <w:spacing w:before="240" w:after="120"/>
        <w:rPr>
          <w:b/>
        </w:rPr>
      </w:pPr>
      <w:r w:rsidRPr="006C542D">
        <w:rPr>
          <w:b/>
        </w:rPr>
        <w:t>The following consultees/commentators indicated that they had no comments on the draft remit and/or the draft scope</w:t>
      </w:r>
    </w:p>
    <w:p w:rsidR="001D2AE3" w:rsidRDefault="007C2C1A" w:rsidP="00EC0E27">
      <w:r>
        <w:t>British Uro-oncology Group (BUG)</w:t>
      </w:r>
    </w:p>
    <w:p w:rsidR="00EC0E27" w:rsidRPr="00EC0E27" w:rsidRDefault="00EC0E27" w:rsidP="00EC0E27">
      <w:pPr>
        <w:pStyle w:val="Heading1"/>
      </w:pPr>
    </w:p>
    <w:sectPr w:rsidR="00EC0E27" w:rsidRPr="00EC0E27" w:rsidSect="00C24D6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6E" w:rsidRDefault="00C24D6E" w:rsidP="00446BEE">
      <w:r>
        <w:separator/>
      </w:r>
    </w:p>
  </w:endnote>
  <w:endnote w:type="continuationSeparator" w:id="0">
    <w:p w:rsidR="00C24D6E" w:rsidRDefault="00C24D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0D" w:rsidRDefault="00415BF6" w:rsidP="00415BF6">
    <w:pPr>
      <w:pStyle w:val="Footer"/>
    </w:pPr>
    <w:r>
      <w:t>National Institute for Health and Care Excellence</w:t>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105F3A">
      <w:rPr>
        <w:noProof/>
      </w:rPr>
      <w:t>2</w:t>
    </w:r>
    <w:r w:rsidR="002B310D" w:rsidRPr="00965BCB">
      <w:fldChar w:fldCharType="end"/>
    </w:r>
    <w:r w:rsidR="002B310D" w:rsidRPr="00965BCB">
      <w:t xml:space="preserve"> of </w:t>
    </w:r>
    <w:r w:rsidR="00105F3A">
      <w:fldChar w:fldCharType="begin"/>
    </w:r>
    <w:r w:rsidR="00105F3A">
      <w:instrText xml:space="preserve"> NUMPAGES </w:instrText>
    </w:r>
    <w:r w:rsidR="00105F3A">
      <w:fldChar w:fldCharType="separate"/>
    </w:r>
    <w:r w:rsidR="00105F3A">
      <w:rPr>
        <w:noProof/>
      </w:rPr>
      <w:t>8</w:t>
    </w:r>
    <w:r w:rsidR="00105F3A">
      <w:rPr>
        <w:noProof/>
      </w:rPr>
      <w:fldChar w:fldCharType="end"/>
    </w:r>
  </w:p>
  <w:p w:rsidR="00415BF6" w:rsidRDefault="00415BF6" w:rsidP="00415BF6">
    <w:pPr>
      <w:pStyle w:val="Footer"/>
    </w:pPr>
    <w:r>
      <w:t xml:space="preserve">Consultation comments on the draft remit and draft scope for the technology appraisal of </w:t>
    </w:r>
    <w:r w:rsidR="00105F3A">
      <w:t>a</w:t>
    </w:r>
    <w:r w:rsidR="006D5D9A" w:rsidRPr="006D5D9A">
      <w:t>biraterone for treating newly diagnosed</w:t>
    </w:r>
    <w:r w:rsidR="00105F3A">
      <w:t xml:space="preserve"> high risk</w:t>
    </w:r>
    <w:r w:rsidR="006D5D9A" w:rsidRPr="006D5D9A">
      <w:t xml:space="preserve"> metastatic hormone-naive prostate cancer</w:t>
    </w:r>
    <w:r>
      <w:t xml:space="preserve">  </w:t>
    </w:r>
  </w:p>
  <w:p w:rsidR="00446BEE" w:rsidRDefault="00415BF6" w:rsidP="00415BF6">
    <w:pPr>
      <w:pStyle w:val="Footer"/>
    </w:pPr>
    <w:r>
      <w:t xml:space="preserve">Issue date: </w:t>
    </w:r>
    <w:r w:rsidR="00F9246E">
      <w:t>November 201</w:t>
    </w:r>
    <w:r w:rsidR="008612B7">
      <w:t>7</w:t>
    </w:r>
  </w:p>
  <w:p w:rsidR="008612B7" w:rsidRPr="004C25A1" w:rsidRDefault="008612B7" w:rsidP="008612B7">
    <w:pPr>
      <w:pStyle w:val="Footer"/>
    </w:pPr>
    <w:r w:rsidRPr="00B10464">
      <w:t>© National Institute for H</w:t>
    </w:r>
    <w:r>
      <w:t>ealth and Care Excellence 2017</w:t>
    </w:r>
    <w:r w:rsidRPr="00B10464">
      <w:t>. All rights reserved.</w:t>
    </w:r>
  </w:p>
  <w:p w:rsidR="008612B7" w:rsidRPr="00415BF6" w:rsidRDefault="008612B7" w:rsidP="00415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6E" w:rsidRDefault="00C24D6E" w:rsidP="00446BEE">
      <w:r>
        <w:separator/>
      </w:r>
    </w:p>
  </w:footnote>
  <w:footnote w:type="continuationSeparator" w:id="0">
    <w:p w:rsidR="00C24D6E" w:rsidRDefault="00C24D6E"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6E" w:rsidRDefault="00C24D6E" w:rsidP="00C24D6E">
    <w:pPr>
      <w:pStyle w:val="Header"/>
      <w:jc w:val="right"/>
    </w:pPr>
    <w:r>
      <w:t>Summary form</w:t>
    </w:r>
  </w:p>
  <w:p w:rsidR="00C24D6E" w:rsidRDefault="00C24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5308"/>
    <w:multiLevelType w:val="hybridMultilevel"/>
    <w:tmpl w:val="1D209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01E69"/>
    <w:multiLevelType w:val="hybridMultilevel"/>
    <w:tmpl w:val="FF3A038E"/>
    <w:lvl w:ilvl="0" w:tplc="40DEF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6E"/>
    <w:rsid w:val="000024CA"/>
    <w:rsid w:val="000053F8"/>
    <w:rsid w:val="00014B9F"/>
    <w:rsid w:val="00024D0A"/>
    <w:rsid w:val="000472DC"/>
    <w:rsid w:val="00057DC3"/>
    <w:rsid w:val="000664FE"/>
    <w:rsid w:val="00070065"/>
    <w:rsid w:val="000A4FEE"/>
    <w:rsid w:val="000B5939"/>
    <w:rsid w:val="00105F3A"/>
    <w:rsid w:val="00111CCE"/>
    <w:rsid w:val="001134E7"/>
    <w:rsid w:val="00113D70"/>
    <w:rsid w:val="0017149E"/>
    <w:rsid w:val="0017169E"/>
    <w:rsid w:val="00181A4A"/>
    <w:rsid w:val="001B0EE9"/>
    <w:rsid w:val="001B65B3"/>
    <w:rsid w:val="001D2AE3"/>
    <w:rsid w:val="002029A6"/>
    <w:rsid w:val="00206C4D"/>
    <w:rsid w:val="0023673D"/>
    <w:rsid w:val="002408EA"/>
    <w:rsid w:val="00255099"/>
    <w:rsid w:val="002819D7"/>
    <w:rsid w:val="002A0059"/>
    <w:rsid w:val="002A29ED"/>
    <w:rsid w:val="002B310D"/>
    <w:rsid w:val="002C1A7E"/>
    <w:rsid w:val="002D3376"/>
    <w:rsid w:val="00311ED0"/>
    <w:rsid w:val="003648C5"/>
    <w:rsid w:val="003722FA"/>
    <w:rsid w:val="003724F8"/>
    <w:rsid w:val="003C75C9"/>
    <w:rsid w:val="003C7AAF"/>
    <w:rsid w:val="003D31FF"/>
    <w:rsid w:val="004075B6"/>
    <w:rsid w:val="00415BF6"/>
    <w:rsid w:val="00420952"/>
    <w:rsid w:val="00424CBB"/>
    <w:rsid w:val="00433EFF"/>
    <w:rsid w:val="00443081"/>
    <w:rsid w:val="00446BEE"/>
    <w:rsid w:val="00480603"/>
    <w:rsid w:val="00495D67"/>
    <w:rsid w:val="004C2CDC"/>
    <w:rsid w:val="004C458E"/>
    <w:rsid w:val="005025A1"/>
    <w:rsid w:val="005265C0"/>
    <w:rsid w:val="00584846"/>
    <w:rsid w:val="005D5069"/>
    <w:rsid w:val="005E303A"/>
    <w:rsid w:val="006472E6"/>
    <w:rsid w:val="00656021"/>
    <w:rsid w:val="006921E1"/>
    <w:rsid w:val="006D5D9A"/>
    <w:rsid w:val="006E4434"/>
    <w:rsid w:val="006F0E43"/>
    <w:rsid w:val="006F4B25"/>
    <w:rsid w:val="006F6496"/>
    <w:rsid w:val="0070350A"/>
    <w:rsid w:val="00736348"/>
    <w:rsid w:val="00760908"/>
    <w:rsid w:val="007C2C1A"/>
    <w:rsid w:val="007F238D"/>
    <w:rsid w:val="008076DA"/>
    <w:rsid w:val="00845A43"/>
    <w:rsid w:val="008612B7"/>
    <w:rsid w:val="00861B92"/>
    <w:rsid w:val="008814FB"/>
    <w:rsid w:val="008B62DA"/>
    <w:rsid w:val="008C38E8"/>
    <w:rsid w:val="008F5E30"/>
    <w:rsid w:val="00914D7F"/>
    <w:rsid w:val="009B4D41"/>
    <w:rsid w:val="009E680B"/>
    <w:rsid w:val="00A14B80"/>
    <w:rsid w:val="00A15A1F"/>
    <w:rsid w:val="00A1626A"/>
    <w:rsid w:val="00A3325A"/>
    <w:rsid w:val="00A43013"/>
    <w:rsid w:val="00AF108A"/>
    <w:rsid w:val="00B02E55"/>
    <w:rsid w:val="00B036C1"/>
    <w:rsid w:val="00B21AC6"/>
    <w:rsid w:val="00B5431F"/>
    <w:rsid w:val="00B95D42"/>
    <w:rsid w:val="00BF7FE0"/>
    <w:rsid w:val="00C24D6E"/>
    <w:rsid w:val="00C34798"/>
    <w:rsid w:val="00C81104"/>
    <w:rsid w:val="00C83C5E"/>
    <w:rsid w:val="00C96411"/>
    <w:rsid w:val="00CB2688"/>
    <w:rsid w:val="00CB5671"/>
    <w:rsid w:val="00CC37C9"/>
    <w:rsid w:val="00CF58B7"/>
    <w:rsid w:val="00D1344D"/>
    <w:rsid w:val="00D351C1"/>
    <w:rsid w:val="00D35EFB"/>
    <w:rsid w:val="00D504B3"/>
    <w:rsid w:val="00D86BF0"/>
    <w:rsid w:val="00DA2DF8"/>
    <w:rsid w:val="00E51920"/>
    <w:rsid w:val="00E64120"/>
    <w:rsid w:val="00E660A1"/>
    <w:rsid w:val="00EA3CCF"/>
    <w:rsid w:val="00EC0E27"/>
    <w:rsid w:val="00F055F1"/>
    <w:rsid w:val="00F55551"/>
    <w:rsid w:val="00F610AF"/>
    <w:rsid w:val="00F9246E"/>
    <w:rsid w:val="00FA2C5A"/>
    <w:rsid w:val="00FC2D11"/>
    <w:rsid w:val="00FC43C0"/>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55FA8A8-3BB7-41AC-9A0B-27E6FC41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B62DA"/>
    <w:rPr>
      <w:sz w:val="16"/>
      <w:szCs w:val="16"/>
    </w:rPr>
  </w:style>
  <w:style w:type="paragraph" w:styleId="CommentText">
    <w:name w:val="annotation text"/>
    <w:basedOn w:val="Normal"/>
    <w:link w:val="CommentTextChar"/>
    <w:semiHidden/>
    <w:rsid w:val="008B62DA"/>
    <w:rPr>
      <w:sz w:val="20"/>
      <w:szCs w:val="20"/>
    </w:rPr>
  </w:style>
  <w:style w:type="character" w:customStyle="1" w:styleId="CommentTextChar">
    <w:name w:val="Comment Text Char"/>
    <w:basedOn w:val="DefaultParagraphFont"/>
    <w:link w:val="CommentText"/>
    <w:semiHidden/>
    <w:rsid w:val="008B62DA"/>
    <w:rPr>
      <w:rFonts w:ascii="Arial" w:hAnsi="Arial" w:cs="Arial"/>
      <w:lang w:eastAsia="en-US"/>
    </w:rPr>
  </w:style>
  <w:style w:type="paragraph" w:styleId="CommentSubject">
    <w:name w:val="annotation subject"/>
    <w:basedOn w:val="CommentText"/>
    <w:next w:val="CommentText"/>
    <w:link w:val="CommentSubjectChar"/>
    <w:semiHidden/>
    <w:rsid w:val="008B62DA"/>
    <w:rPr>
      <w:b/>
      <w:bCs/>
    </w:rPr>
  </w:style>
  <w:style w:type="character" w:customStyle="1" w:styleId="CommentSubjectChar">
    <w:name w:val="Comment Subject Char"/>
    <w:basedOn w:val="CommentTextChar"/>
    <w:link w:val="CommentSubject"/>
    <w:semiHidden/>
    <w:rsid w:val="008B62DA"/>
    <w:rPr>
      <w:rFonts w:ascii="Arial" w:hAnsi="Arial" w:cs="Arial"/>
      <w:b/>
      <w:bCs/>
      <w:lang w:eastAsia="en-US"/>
    </w:rPr>
  </w:style>
  <w:style w:type="paragraph" w:styleId="Revision">
    <w:name w:val="Revision"/>
    <w:hidden/>
    <w:uiPriority w:val="99"/>
    <w:semiHidden/>
    <w:rsid w:val="007C2C1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531C645D</Template>
  <TotalTime>4</TotalTime>
  <Pages>8</Pages>
  <Words>1595</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Mary Hughes</cp:lastModifiedBy>
  <cp:revision>5</cp:revision>
  <dcterms:created xsi:type="dcterms:W3CDTF">2017-11-28T11:25:00Z</dcterms:created>
  <dcterms:modified xsi:type="dcterms:W3CDTF">2017-11-28T11:31:00Z</dcterms:modified>
</cp:coreProperties>
</file>