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5EE5B" w14:textId="4BC2BEB6" w:rsidR="00430FF5" w:rsidRDefault="00453774" w:rsidP="00D96B81">
      <w:r w:rsidRPr="00D96B81">
        <w:rPr>
          <w:rFonts w:ascii="Arial" w:hAnsi="Arial" w:cs="Arial"/>
          <w:sz w:val="24"/>
          <w:szCs w:val="24"/>
        </w:rPr>
        <w:softHyphen/>
      </w:r>
      <w:r w:rsidR="00D96B81" w:rsidRPr="00D96B81">
        <w:rPr>
          <w:rFonts w:ascii="Arial" w:eastAsia="Times New Roman" w:hAnsi="Arial" w:cs="Arial"/>
          <w:sz w:val="24"/>
          <w:szCs w:val="24"/>
          <w:lang w:eastAsia="en-GB"/>
        </w:rPr>
        <w:t xml:space="preserve">Sent by email to: </w:t>
      </w:r>
      <w:hyperlink r:id="rId8" w:history="1">
        <w:r w:rsidR="00093FAF" w:rsidRPr="00093FAF">
          <w:rPr>
            <w:rStyle w:val="Hyperlink"/>
            <w:rFonts w:ascii="Arial" w:hAnsi="Arial" w:cs="Arial"/>
            <w:color w:val="000000" w:themeColor="text1"/>
            <w:highlight w:val="black"/>
          </w:rPr>
          <w:t>XXXXXXXXXXXXXXX</w:t>
        </w:r>
      </w:hyperlink>
      <w:r w:rsidR="00093FAF" w:rsidRPr="00093FAF">
        <w:rPr>
          <w:rStyle w:val="Hyperlink"/>
          <w:rFonts w:ascii="Arial" w:hAnsi="Arial" w:cs="Arial"/>
          <w:color w:val="000000" w:themeColor="text1"/>
          <w:highlight w:val="black"/>
        </w:rPr>
        <w:t>X</w:t>
      </w:r>
      <w:r w:rsidR="00430FF5" w:rsidRPr="00430FF5">
        <w:rPr>
          <w:rFonts w:ascii="Arial" w:hAnsi="Arial" w:cs="Arial"/>
        </w:rPr>
        <w:t xml:space="preserve"> </w:t>
      </w:r>
      <w:hyperlink r:id="rId9" w:history="1">
        <w:r w:rsidR="00093FAF" w:rsidRPr="00093FAF">
          <w:rPr>
            <w:rStyle w:val="Hyperlink"/>
            <w:rFonts w:ascii="Arial" w:hAnsi="Arial" w:cs="Arial"/>
            <w:color w:val="000000" w:themeColor="text1"/>
            <w:highlight w:val="black"/>
          </w:rPr>
          <w:t>XXXXXXXXXXXXXXXX</w:t>
        </w:r>
      </w:hyperlink>
      <w:r w:rsidR="00093FAF" w:rsidRPr="00093FAF">
        <w:rPr>
          <w:rStyle w:val="Hyperlink"/>
          <w:rFonts w:ascii="Arial" w:hAnsi="Arial" w:cs="Arial"/>
          <w:color w:val="000000" w:themeColor="text1"/>
          <w:highlight w:val="black"/>
        </w:rPr>
        <w:t>X</w:t>
      </w:r>
      <w:r w:rsidR="00430FF5" w:rsidRPr="00093FAF">
        <w:rPr>
          <w:color w:val="000000" w:themeColor="text1"/>
        </w:rPr>
        <w:t xml:space="preserve"> </w:t>
      </w:r>
    </w:p>
    <w:p w14:paraId="1034EA14" w14:textId="77777777" w:rsidR="0008737F" w:rsidRDefault="0008737F" w:rsidP="0008737F">
      <w:pPr>
        <w:widowControl w:val="0"/>
        <w:spacing w:before="240" w:after="240" w:line="240" w:lineRule="auto"/>
        <w:jc w:val="both"/>
        <w:rPr>
          <w:rFonts w:ascii="Arial" w:hAnsi="Arial" w:cs="Arial"/>
          <w:sz w:val="24"/>
          <w:szCs w:val="24"/>
          <w:lang w:eastAsia="en-GB"/>
        </w:rPr>
      </w:pPr>
    </w:p>
    <w:p w14:paraId="18A04857" w14:textId="2BCBA093" w:rsidR="00430FF5" w:rsidRPr="00430FF5" w:rsidRDefault="00093FAF" w:rsidP="00430FF5">
      <w:pPr>
        <w:widowControl w:val="0"/>
        <w:spacing w:before="120" w:after="120" w:line="240" w:lineRule="auto"/>
        <w:jc w:val="both"/>
        <w:rPr>
          <w:rFonts w:ascii="Arial" w:hAnsi="Arial" w:cs="Arial"/>
          <w:sz w:val="24"/>
          <w:szCs w:val="24"/>
          <w:lang w:eastAsia="en-GB"/>
        </w:rPr>
      </w:pPr>
      <w:r w:rsidRPr="00093FAF">
        <w:rPr>
          <w:rFonts w:ascii="Arial" w:hAnsi="Arial" w:cs="Arial"/>
          <w:sz w:val="24"/>
          <w:szCs w:val="24"/>
          <w:highlight w:val="black"/>
          <w:lang w:eastAsia="en-GB"/>
        </w:rPr>
        <w:t>XXXXXXXXX</w:t>
      </w:r>
      <w:r w:rsidR="00430FF5" w:rsidRPr="00093FAF">
        <w:rPr>
          <w:rFonts w:ascii="Arial" w:hAnsi="Arial" w:cs="Arial"/>
          <w:sz w:val="24"/>
          <w:szCs w:val="24"/>
          <w:highlight w:val="black"/>
          <w:lang w:eastAsia="en-GB"/>
        </w:rPr>
        <w:t xml:space="preserve"> </w:t>
      </w:r>
      <w:r w:rsidRPr="00093FAF">
        <w:rPr>
          <w:rFonts w:ascii="Arial" w:hAnsi="Arial" w:cs="Arial"/>
          <w:sz w:val="24"/>
          <w:szCs w:val="24"/>
          <w:highlight w:val="black"/>
          <w:lang w:eastAsia="en-GB"/>
        </w:rPr>
        <w:t>XXXX</w:t>
      </w:r>
      <w:r w:rsidR="00430FF5" w:rsidRPr="00093FAF">
        <w:rPr>
          <w:rFonts w:ascii="Arial" w:hAnsi="Arial" w:cs="Arial"/>
          <w:sz w:val="24"/>
          <w:szCs w:val="24"/>
          <w:highlight w:val="black"/>
          <w:lang w:eastAsia="en-GB"/>
        </w:rPr>
        <w:t xml:space="preserve"> </w:t>
      </w:r>
      <w:r w:rsidRPr="00093FAF">
        <w:rPr>
          <w:rFonts w:ascii="Arial" w:hAnsi="Arial" w:cs="Arial"/>
          <w:sz w:val="24"/>
          <w:szCs w:val="24"/>
          <w:highlight w:val="black"/>
          <w:lang w:eastAsia="en-GB"/>
        </w:rPr>
        <w:t>XXXXXX</w:t>
      </w:r>
      <w:r w:rsidR="00430FF5" w:rsidRPr="00430FF5">
        <w:rPr>
          <w:rFonts w:ascii="Arial" w:hAnsi="Arial" w:cs="Arial"/>
          <w:sz w:val="24"/>
          <w:szCs w:val="24"/>
          <w:lang w:eastAsia="en-GB"/>
        </w:rPr>
        <w:t xml:space="preserve"> </w:t>
      </w:r>
    </w:p>
    <w:p w14:paraId="5803F770" w14:textId="42A70FA7" w:rsidR="00430FF5" w:rsidRPr="00430FF5" w:rsidRDefault="00093FAF" w:rsidP="00430FF5">
      <w:pPr>
        <w:widowControl w:val="0"/>
        <w:spacing w:before="120" w:after="120" w:line="240" w:lineRule="auto"/>
        <w:jc w:val="both"/>
        <w:rPr>
          <w:rFonts w:ascii="Arial" w:hAnsi="Arial" w:cs="Arial"/>
          <w:sz w:val="24"/>
          <w:szCs w:val="24"/>
          <w:lang w:eastAsia="en-GB"/>
        </w:rPr>
      </w:pPr>
      <w:r w:rsidRPr="00093FAF">
        <w:rPr>
          <w:rFonts w:ascii="Arial" w:hAnsi="Arial" w:cs="Arial"/>
          <w:sz w:val="24"/>
          <w:szCs w:val="24"/>
          <w:highlight w:val="black"/>
          <w:lang w:eastAsia="en-GB"/>
        </w:rPr>
        <w:t>XXXXX</w:t>
      </w:r>
      <w:r w:rsidR="00430FF5" w:rsidRPr="00093FAF">
        <w:rPr>
          <w:rFonts w:ascii="Arial" w:hAnsi="Arial" w:cs="Arial"/>
          <w:sz w:val="24"/>
          <w:szCs w:val="24"/>
          <w:highlight w:val="black"/>
          <w:lang w:eastAsia="en-GB"/>
        </w:rPr>
        <w:t xml:space="preserve"> </w:t>
      </w:r>
      <w:r w:rsidRPr="00093FAF">
        <w:rPr>
          <w:rFonts w:ascii="Arial" w:hAnsi="Arial" w:cs="Arial"/>
          <w:sz w:val="24"/>
          <w:szCs w:val="24"/>
          <w:highlight w:val="black"/>
          <w:lang w:eastAsia="en-GB"/>
        </w:rPr>
        <w:t>XXXXXXX</w:t>
      </w:r>
      <w:r w:rsidR="00430FF5" w:rsidRPr="00093FAF">
        <w:rPr>
          <w:rFonts w:ascii="Arial" w:hAnsi="Arial" w:cs="Arial"/>
          <w:sz w:val="24"/>
          <w:szCs w:val="24"/>
          <w:highlight w:val="black"/>
          <w:lang w:eastAsia="en-GB"/>
        </w:rPr>
        <w:t xml:space="preserve"> </w:t>
      </w:r>
      <w:r w:rsidRPr="00093FAF">
        <w:rPr>
          <w:rFonts w:ascii="Arial" w:hAnsi="Arial" w:cs="Arial"/>
          <w:sz w:val="24"/>
          <w:szCs w:val="24"/>
          <w:highlight w:val="black"/>
          <w:lang w:eastAsia="en-GB"/>
        </w:rPr>
        <w:t>X</w:t>
      </w:r>
      <w:r w:rsidR="00430FF5" w:rsidRPr="00093FAF">
        <w:rPr>
          <w:rFonts w:ascii="Arial" w:hAnsi="Arial" w:cs="Arial"/>
          <w:sz w:val="24"/>
          <w:szCs w:val="24"/>
          <w:highlight w:val="black"/>
          <w:lang w:eastAsia="en-GB"/>
        </w:rPr>
        <w:t xml:space="preserve"> </w:t>
      </w:r>
      <w:r w:rsidRPr="00093FAF">
        <w:rPr>
          <w:rFonts w:ascii="Arial" w:hAnsi="Arial" w:cs="Arial"/>
          <w:sz w:val="24"/>
          <w:szCs w:val="24"/>
          <w:highlight w:val="black"/>
          <w:lang w:eastAsia="en-GB"/>
        </w:rPr>
        <w:t>XXXXXXXXXX</w:t>
      </w:r>
      <w:r w:rsidR="00430FF5" w:rsidRPr="00093FAF">
        <w:rPr>
          <w:rFonts w:ascii="Arial" w:hAnsi="Arial" w:cs="Arial"/>
          <w:sz w:val="24"/>
          <w:szCs w:val="24"/>
          <w:highlight w:val="black"/>
          <w:lang w:eastAsia="en-GB"/>
        </w:rPr>
        <w:t xml:space="preserve"> </w:t>
      </w:r>
      <w:r w:rsidRPr="00093FAF">
        <w:rPr>
          <w:rFonts w:ascii="Arial" w:hAnsi="Arial" w:cs="Arial"/>
          <w:sz w:val="24"/>
          <w:szCs w:val="24"/>
          <w:highlight w:val="black"/>
          <w:lang w:eastAsia="en-GB"/>
        </w:rPr>
        <w:t>XXX XXXXXXXXX</w:t>
      </w:r>
    </w:p>
    <w:p w14:paraId="0D90DEB1" w14:textId="77777777" w:rsidR="00430FF5" w:rsidRDefault="00430FF5" w:rsidP="00430FF5">
      <w:pPr>
        <w:widowControl w:val="0"/>
        <w:spacing w:before="120" w:after="120" w:line="240" w:lineRule="auto"/>
        <w:jc w:val="both"/>
        <w:rPr>
          <w:rFonts w:ascii="Arial" w:hAnsi="Arial" w:cs="Arial"/>
          <w:sz w:val="24"/>
          <w:szCs w:val="24"/>
          <w:lang w:eastAsia="en-GB"/>
        </w:rPr>
      </w:pPr>
      <w:r w:rsidRPr="00430FF5">
        <w:rPr>
          <w:rFonts w:ascii="Arial" w:hAnsi="Arial" w:cs="Arial"/>
          <w:sz w:val="24"/>
          <w:szCs w:val="24"/>
          <w:lang w:eastAsia="en-GB"/>
        </w:rPr>
        <w:t>British Association of Dermatologists</w:t>
      </w:r>
    </w:p>
    <w:p w14:paraId="5A7C7D1D" w14:textId="2E124293" w:rsidR="0008737F" w:rsidRDefault="0008737F" w:rsidP="00430FF5">
      <w:pPr>
        <w:widowControl w:val="0"/>
        <w:spacing w:before="120" w:after="120" w:line="240" w:lineRule="auto"/>
        <w:jc w:val="both"/>
        <w:rPr>
          <w:rFonts w:ascii="Arial" w:hAnsi="Arial" w:cs="Arial"/>
          <w:sz w:val="24"/>
          <w:szCs w:val="24"/>
          <w:lang w:eastAsia="en-GB"/>
        </w:rPr>
      </w:pPr>
      <w:r>
        <w:rPr>
          <w:rFonts w:ascii="Arial" w:hAnsi="Arial" w:cs="Arial"/>
          <w:sz w:val="24"/>
          <w:szCs w:val="24"/>
          <w:lang w:eastAsia="en-GB"/>
        </w:rPr>
        <w:tab/>
      </w:r>
    </w:p>
    <w:p w14:paraId="5EF74177" w14:textId="00952797" w:rsidR="00C71F14" w:rsidRPr="00C71F14" w:rsidRDefault="00430FF5" w:rsidP="00C71F14">
      <w:pPr>
        <w:widowControl w:val="0"/>
        <w:spacing w:before="240" w:after="240" w:line="240" w:lineRule="auto"/>
        <w:jc w:val="both"/>
        <w:rPr>
          <w:rFonts w:ascii="Arial" w:hAnsi="Arial" w:cs="Arial"/>
          <w:sz w:val="24"/>
          <w:szCs w:val="24"/>
          <w:lang w:eastAsia="en-GB"/>
        </w:rPr>
      </w:pPr>
      <w:r>
        <w:rPr>
          <w:rFonts w:ascii="Arial" w:hAnsi="Arial" w:cs="Arial"/>
          <w:sz w:val="24"/>
          <w:szCs w:val="24"/>
          <w:lang w:eastAsia="en-GB"/>
        </w:rPr>
        <w:t>25 March 2021</w:t>
      </w:r>
    </w:p>
    <w:p w14:paraId="4E975AC1" w14:textId="77777777" w:rsidR="00C71F14" w:rsidRPr="00C71F14" w:rsidRDefault="00C71F14" w:rsidP="00C71F14">
      <w:pPr>
        <w:widowControl w:val="0"/>
        <w:spacing w:before="240" w:after="240" w:line="240" w:lineRule="auto"/>
        <w:jc w:val="both"/>
        <w:rPr>
          <w:rFonts w:ascii="Arial" w:hAnsi="Arial" w:cs="Arial"/>
          <w:sz w:val="24"/>
          <w:szCs w:val="24"/>
          <w:lang w:eastAsia="en-GB"/>
        </w:rPr>
      </w:pPr>
    </w:p>
    <w:p w14:paraId="4FC0B79C" w14:textId="56BF4E68" w:rsidR="004675B7" w:rsidRPr="004675B7" w:rsidRDefault="004675B7" w:rsidP="004675B7">
      <w:pPr>
        <w:widowControl w:val="0"/>
        <w:spacing w:before="240" w:after="240" w:line="240" w:lineRule="auto"/>
        <w:jc w:val="both"/>
        <w:rPr>
          <w:rFonts w:ascii="Arial" w:hAnsi="Arial" w:cs="Arial"/>
          <w:sz w:val="24"/>
          <w:szCs w:val="24"/>
          <w:lang w:eastAsia="en-GB"/>
        </w:rPr>
      </w:pPr>
      <w:r w:rsidRPr="004675B7">
        <w:rPr>
          <w:rFonts w:ascii="Arial" w:hAnsi="Arial" w:cs="Arial"/>
          <w:sz w:val="24"/>
          <w:szCs w:val="24"/>
          <w:lang w:eastAsia="en-GB"/>
        </w:rPr>
        <w:t xml:space="preserve">Dear </w:t>
      </w:r>
      <w:r w:rsidR="00093FAF" w:rsidRPr="00093FAF">
        <w:rPr>
          <w:rFonts w:ascii="Arial" w:hAnsi="Arial" w:cs="Arial"/>
          <w:sz w:val="24"/>
          <w:szCs w:val="24"/>
          <w:highlight w:val="black"/>
          <w:lang w:eastAsia="en-GB"/>
        </w:rPr>
        <w:t>XXXX</w:t>
      </w:r>
      <w:r w:rsidR="00430FF5" w:rsidRPr="00093FAF">
        <w:rPr>
          <w:rFonts w:ascii="Arial" w:hAnsi="Arial" w:cs="Arial"/>
          <w:sz w:val="24"/>
          <w:szCs w:val="24"/>
          <w:highlight w:val="black"/>
          <w:lang w:eastAsia="en-GB"/>
        </w:rPr>
        <w:t xml:space="preserve"> </w:t>
      </w:r>
      <w:r w:rsidR="00093FAF" w:rsidRPr="00093FAF">
        <w:rPr>
          <w:rFonts w:ascii="Arial" w:hAnsi="Arial" w:cs="Arial"/>
          <w:sz w:val="24"/>
          <w:szCs w:val="24"/>
          <w:highlight w:val="black"/>
          <w:lang w:eastAsia="en-GB"/>
        </w:rPr>
        <w:t>XXXXXX</w:t>
      </w:r>
    </w:p>
    <w:p w14:paraId="2AB0A3AF" w14:textId="77777777" w:rsidR="00430FF5" w:rsidRPr="00430FF5" w:rsidRDefault="00430FF5" w:rsidP="00430FF5">
      <w:pPr>
        <w:jc w:val="both"/>
        <w:rPr>
          <w:rFonts w:ascii="Arial" w:hAnsi="Arial" w:cs="Arial"/>
        </w:rPr>
      </w:pPr>
      <w:r w:rsidRPr="00430FF5">
        <w:rPr>
          <w:rFonts w:ascii="Arial" w:hAnsi="Arial" w:cs="Arial"/>
          <w:noProof/>
          <w:spacing w:val="-3"/>
          <w:lang w:eastAsia="en-GB"/>
        </w:rPr>
        <mc:AlternateContent>
          <mc:Choice Requires="wps">
            <w:drawing>
              <wp:anchor distT="4294967294" distB="4294967294" distL="114300" distR="114300" simplePos="0" relativeHeight="251659264" behindDoc="0" locked="0" layoutInCell="1" allowOverlap="1" wp14:anchorId="66D9A4D9" wp14:editId="469618A9">
                <wp:simplePos x="0" y="0"/>
                <wp:positionH relativeFrom="column">
                  <wp:posOffset>-805815</wp:posOffset>
                </wp:positionH>
                <wp:positionV relativeFrom="paragraph">
                  <wp:posOffset>255269</wp:posOffset>
                </wp:positionV>
                <wp:extent cx="819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2F9295"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" strokecolor="#505050" strokeweight=".25pt">
                <o:lock v:ext="edit" shapetype="f"/>
              </v:line>
            </w:pict>
          </mc:Fallback>
        </mc:AlternateContent>
      </w:r>
      <w:r w:rsidRPr="00430FF5">
        <w:rPr>
          <w:rFonts w:ascii="Arial" w:hAnsi="Arial" w:cs="Arial"/>
          <w:b/>
          <w:spacing w:val="-3"/>
        </w:rPr>
        <w:t xml:space="preserve">Re: </w:t>
      </w:r>
      <w:r w:rsidRPr="00430FF5">
        <w:rPr>
          <w:rFonts w:ascii="Arial" w:hAnsi="Arial" w:cs="Arial"/>
          <w:b/>
        </w:rPr>
        <w:t>Final Appraisal Document –</w:t>
      </w:r>
      <w:r w:rsidRPr="00430FF5">
        <w:rPr>
          <w:rFonts w:ascii="Arial" w:hAnsi="Arial" w:cs="Arial"/>
        </w:rPr>
        <w:t xml:space="preserve"> </w:t>
      </w:r>
      <w:r w:rsidRPr="00430FF5">
        <w:rPr>
          <w:rFonts w:ascii="Arial" w:hAnsi="Arial" w:cs="Arial"/>
          <w:b/>
        </w:rPr>
        <w:t xml:space="preserve">Mogamulizumab for previously treated mycosis fungoides and </w:t>
      </w:r>
      <w:proofErr w:type="spellStart"/>
      <w:r w:rsidRPr="00430FF5">
        <w:rPr>
          <w:rFonts w:ascii="Arial" w:hAnsi="Arial" w:cs="Arial"/>
          <w:b/>
        </w:rPr>
        <w:t>Sézary</w:t>
      </w:r>
      <w:proofErr w:type="spellEnd"/>
      <w:r w:rsidRPr="00430FF5">
        <w:rPr>
          <w:rFonts w:ascii="Arial" w:hAnsi="Arial" w:cs="Arial"/>
          <w:b/>
        </w:rPr>
        <w:t xml:space="preserve"> syndrome [ID1405]</w:t>
      </w:r>
    </w:p>
    <w:p w14:paraId="558438BB" w14:textId="0F88FDFB" w:rsidR="00430FF5" w:rsidRPr="00430FF5" w:rsidRDefault="00430FF5" w:rsidP="00430FF5">
      <w:pPr>
        <w:spacing w:after="0" w:line="240" w:lineRule="auto"/>
        <w:rPr>
          <w:rFonts w:ascii="Arial" w:hAnsi="Arial" w:cs="Arial"/>
        </w:rPr>
      </w:pPr>
      <w:r w:rsidRPr="00430FF5">
        <w:rPr>
          <w:rFonts w:ascii="Arial" w:hAnsi="Arial" w:cs="Arial"/>
        </w:rPr>
        <w:t xml:space="preserve">Thank you for your letter </w:t>
      </w:r>
      <w:r>
        <w:rPr>
          <w:rFonts w:ascii="Arial" w:hAnsi="Arial" w:cs="Arial"/>
        </w:rPr>
        <w:t>received on 18 March</w:t>
      </w:r>
      <w:r w:rsidRPr="00430FF5">
        <w:rPr>
          <w:rFonts w:ascii="Arial" w:hAnsi="Arial" w:cs="Arial"/>
        </w:rPr>
        <w:t xml:space="preserve"> 2021, lodging the British Association of Dermatologists (BAD)’s appeal against the above Final Appraisal Document (FAD). </w:t>
      </w:r>
    </w:p>
    <w:p w14:paraId="4C8134B3" w14:textId="77777777" w:rsidR="00430FF5" w:rsidRPr="00430FF5" w:rsidRDefault="00430FF5" w:rsidP="00430FF5">
      <w:pPr>
        <w:spacing w:after="0" w:line="240" w:lineRule="auto"/>
        <w:rPr>
          <w:rFonts w:ascii="Arial" w:hAnsi="Arial" w:cs="Arial"/>
        </w:rPr>
      </w:pPr>
      <w:r w:rsidRPr="00430FF5">
        <w:rPr>
          <w:rFonts w:ascii="Arial" w:hAnsi="Arial" w:cs="Arial"/>
        </w:rPr>
        <w:t xml:space="preserve"> </w:t>
      </w:r>
    </w:p>
    <w:p w14:paraId="13CF9DE8" w14:textId="77777777" w:rsidR="00430FF5" w:rsidRPr="00430FF5" w:rsidRDefault="00430FF5" w:rsidP="00430FF5">
      <w:pPr>
        <w:jc w:val="both"/>
        <w:rPr>
          <w:rFonts w:ascii="Arial" w:hAnsi="Arial" w:cs="Arial"/>
        </w:rPr>
      </w:pPr>
      <w:r w:rsidRPr="00430FF5">
        <w:rPr>
          <w:rFonts w:ascii="Arial" w:hAnsi="Arial" w:cs="Arial"/>
          <w:u w:val="single"/>
        </w:rPr>
        <w:t>Introduction</w:t>
      </w:r>
      <w:r w:rsidRPr="00430FF5">
        <w:rPr>
          <w:rFonts w:ascii="Arial" w:hAnsi="Arial" w:cs="Arial"/>
        </w:rPr>
        <w:t xml:space="preserve"> </w:t>
      </w:r>
    </w:p>
    <w:p w14:paraId="1EE98FD2" w14:textId="77777777" w:rsidR="00430FF5" w:rsidRPr="00430FF5" w:rsidRDefault="00430FF5" w:rsidP="00430FF5">
      <w:pPr>
        <w:jc w:val="both"/>
        <w:rPr>
          <w:rFonts w:ascii="Arial" w:hAnsi="Arial" w:cs="Arial"/>
        </w:rPr>
      </w:pPr>
      <w:r w:rsidRPr="00430FF5">
        <w:rPr>
          <w:rFonts w:ascii="Arial" w:hAnsi="Arial" w:cs="Arial"/>
        </w:rPr>
        <w:t xml:space="preserve">The Institute's appeal procedures provide for an initial scrutiny of points that an appellant wishes to raise, to confirm that they are at least arguably within the permitted grounds of appeal ("valid"). The permitted grounds of appeal are: </w:t>
      </w:r>
    </w:p>
    <w:p w14:paraId="013F2A28" w14:textId="77777777" w:rsidR="00430FF5" w:rsidRPr="00430FF5" w:rsidRDefault="00430FF5" w:rsidP="00430FF5">
      <w:pPr>
        <w:numPr>
          <w:ilvl w:val="0"/>
          <w:numId w:val="1"/>
        </w:numPr>
        <w:shd w:val="clear" w:color="auto" w:fill="FFFFFF"/>
        <w:spacing w:before="240" w:after="240" w:line="240" w:lineRule="auto"/>
        <w:jc w:val="both"/>
        <w:rPr>
          <w:rFonts w:ascii="Arial" w:hAnsi="Arial" w:cs="Arial"/>
        </w:rPr>
      </w:pPr>
      <w:r w:rsidRPr="00430FF5">
        <w:rPr>
          <w:rFonts w:ascii="Arial" w:hAnsi="Arial" w:cs="Arial"/>
        </w:rPr>
        <w:t xml:space="preserve">1(a) NICE has failed to act fairly, or </w:t>
      </w:r>
    </w:p>
    <w:p w14:paraId="6F410337" w14:textId="77777777" w:rsidR="00430FF5" w:rsidRPr="00430FF5" w:rsidRDefault="00430FF5" w:rsidP="00430FF5">
      <w:pPr>
        <w:numPr>
          <w:ilvl w:val="0"/>
          <w:numId w:val="1"/>
        </w:numPr>
        <w:shd w:val="clear" w:color="auto" w:fill="FFFFFF"/>
        <w:spacing w:before="240" w:after="240" w:line="240" w:lineRule="auto"/>
        <w:jc w:val="both"/>
        <w:rPr>
          <w:rFonts w:ascii="Arial" w:hAnsi="Arial" w:cs="Arial"/>
        </w:rPr>
      </w:pPr>
      <w:r w:rsidRPr="00430FF5">
        <w:rPr>
          <w:rFonts w:ascii="Arial" w:hAnsi="Arial" w:cs="Arial"/>
        </w:rPr>
        <w:t>1(b) NICE has exceeded powers;</w:t>
      </w:r>
    </w:p>
    <w:p w14:paraId="2C254826" w14:textId="77777777" w:rsidR="00430FF5" w:rsidRPr="00430FF5" w:rsidRDefault="00430FF5" w:rsidP="00430FF5">
      <w:pPr>
        <w:numPr>
          <w:ilvl w:val="0"/>
          <w:numId w:val="1"/>
        </w:numPr>
        <w:shd w:val="clear" w:color="auto" w:fill="FFFFFF"/>
        <w:spacing w:before="240" w:after="240" w:line="240" w:lineRule="auto"/>
        <w:jc w:val="both"/>
        <w:rPr>
          <w:rFonts w:ascii="Arial" w:hAnsi="Arial" w:cs="Arial"/>
        </w:rPr>
      </w:pPr>
      <w:r w:rsidRPr="00430FF5">
        <w:rPr>
          <w:rFonts w:ascii="Arial" w:hAnsi="Arial" w:cs="Arial"/>
        </w:rPr>
        <w:t>(2) the recommendation is unreasonable in the light of the evidence submitted to NICE</w:t>
      </w:r>
    </w:p>
    <w:p w14:paraId="2D4D9FDD" w14:textId="77777777" w:rsidR="00430FF5" w:rsidRPr="00430FF5" w:rsidRDefault="00430FF5" w:rsidP="00430FF5">
      <w:pPr>
        <w:jc w:val="both"/>
        <w:rPr>
          <w:rFonts w:ascii="Arial" w:hAnsi="Arial" w:cs="Arial"/>
        </w:rPr>
      </w:pPr>
      <w:r w:rsidRPr="00430FF5">
        <w:rPr>
          <w:rFonts w:ascii="Arial" w:hAnsi="Arial" w:cs="Arial"/>
        </w:rPr>
        <w:t xml:space="preserve">This letter sets out my initial view of the points of appeal you have raised: principally whether they fall within any of the grounds of appeal, or whether further clarification is required of any point. Only if I am satisfied that your points contain the necessary information and arguably fall within any one of the grounds will your appeal be referred to the Appeal Panel. </w:t>
      </w:r>
    </w:p>
    <w:p w14:paraId="15FAB4C2" w14:textId="77777777" w:rsidR="00430FF5" w:rsidRPr="00430FF5" w:rsidRDefault="00430FF5" w:rsidP="00430FF5">
      <w:pPr>
        <w:jc w:val="both"/>
        <w:rPr>
          <w:rFonts w:ascii="Arial" w:hAnsi="Arial" w:cs="Arial"/>
        </w:rPr>
      </w:pPr>
      <w:r w:rsidRPr="00430FF5">
        <w:rPr>
          <w:rFonts w:ascii="Arial" w:hAnsi="Arial" w:cs="Arial"/>
        </w:rPr>
        <w:t xml:space="preserve">You have the opportunity to comment on this letter in order to elaborate on or clarify any of the points raised before I will make my final decision as to whether each appeal point should be referred on to the Appeal Panel. </w:t>
      </w:r>
    </w:p>
    <w:p w14:paraId="4DF5374A" w14:textId="77777777" w:rsidR="00430FF5" w:rsidRPr="00430FF5" w:rsidRDefault="00430FF5" w:rsidP="00430FF5">
      <w:pPr>
        <w:jc w:val="both"/>
        <w:rPr>
          <w:rFonts w:ascii="Arial" w:hAnsi="Arial" w:cs="Arial"/>
          <w:u w:val="single"/>
        </w:rPr>
      </w:pPr>
      <w:r w:rsidRPr="00430FF5">
        <w:rPr>
          <w:rFonts w:ascii="Arial" w:hAnsi="Arial" w:cs="Arial"/>
          <w:u w:val="single"/>
        </w:rPr>
        <w:t>Initial View</w:t>
      </w:r>
    </w:p>
    <w:p w14:paraId="5356F04B" w14:textId="1584505E" w:rsidR="00430FF5" w:rsidRPr="00430FF5" w:rsidRDefault="00430FF5" w:rsidP="00430FF5">
      <w:pPr>
        <w:jc w:val="both"/>
        <w:rPr>
          <w:rFonts w:ascii="Arial" w:hAnsi="Arial" w:cs="Arial"/>
        </w:rPr>
      </w:pPr>
      <w:r w:rsidRPr="00430FF5">
        <w:rPr>
          <w:rFonts w:ascii="Arial" w:hAnsi="Arial" w:cs="Arial"/>
        </w:rPr>
        <w:t xml:space="preserve">I understand from your letter that BAD supports the appeal made by the UK Cutaneous Lymphoma Group (UKCLG). My initial response to UKCLG’s appeal is enclosed for your </w:t>
      </w:r>
      <w:r w:rsidRPr="00430FF5">
        <w:rPr>
          <w:rFonts w:ascii="Arial" w:hAnsi="Arial" w:cs="Arial"/>
        </w:rPr>
        <w:lastRenderedPageBreak/>
        <w:t xml:space="preserve">reference, but I would ask that any response to that letter comes directly from UKCLG as the appellant. </w:t>
      </w:r>
    </w:p>
    <w:p w14:paraId="494D41FD" w14:textId="77777777" w:rsidR="00430FF5" w:rsidRPr="00430FF5" w:rsidRDefault="00430FF5" w:rsidP="00430FF5">
      <w:pPr>
        <w:jc w:val="both"/>
        <w:rPr>
          <w:rFonts w:ascii="Arial" w:hAnsi="Arial" w:cs="Arial"/>
        </w:rPr>
      </w:pPr>
      <w:r w:rsidRPr="00430FF5">
        <w:rPr>
          <w:rFonts w:ascii="Arial" w:hAnsi="Arial" w:cs="Arial"/>
        </w:rPr>
        <w:t>In addition, I note that BAD appears to put forward a single, additional appeal point as follows:</w:t>
      </w:r>
    </w:p>
    <w:p w14:paraId="33E97176" w14:textId="77777777" w:rsidR="00430FF5" w:rsidRPr="00430FF5" w:rsidRDefault="00430FF5" w:rsidP="00430FF5">
      <w:pPr>
        <w:pStyle w:val="ListParagraph"/>
        <w:spacing w:after="240"/>
        <w:jc w:val="both"/>
        <w:rPr>
          <w:rFonts w:cs="Arial"/>
          <w:i/>
          <w:sz w:val="22"/>
          <w:szCs w:val="22"/>
        </w:rPr>
      </w:pPr>
      <w:r w:rsidRPr="00430FF5">
        <w:rPr>
          <w:rFonts w:cs="Arial"/>
          <w:i/>
          <w:sz w:val="22"/>
          <w:szCs w:val="22"/>
        </w:rPr>
        <w:t xml:space="preserve">“the BAD would like to appeal against the decision not to recommend mogamulizumab for previously treated mycosis fungoides and </w:t>
      </w:r>
      <w:proofErr w:type="spellStart"/>
      <w:r w:rsidRPr="00430FF5">
        <w:rPr>
          <w:rFonts w:cs="Arial"/>
          <w:i/>
          <w:sz w:val="22"/>
          <w:szCs w:val="22"/>
        </w:rPr>
        <w:t>Sézary</w:t>
      </w:r>
      <w:proofErr w:type="spellEnd"/>
      <w:r w:rsidRPr="00430FF5">
        <w:rPr>
          <w:rFonts w:cs="Arial"/>
          <w:i/>
          <w:sz w:val="22"/>
          <w:szCs w:val="22"/>
        </w:rPr>
        <w:t xml:space="preserve"> syndrome, and our appeal should be based on ground two –. there is compelling evidence for efficacy and with no other treatment options for certain patients with life-threatening disease”. </w:t>
      </w:r>
      <w:r w:rsidRPr="00430FF5">
        <w:rPr>
          <w:rFonts w:cs="Arial"/>
          <w:sz w:val="22"/>
          <w:szCs w:val="22"/>
        </w:rPr>
        <w:t>In particular, you state: “</w:t>
      </w:r>
      <w:r w:rsidRPr="00430FF5">
        <w:rPr>
          <w:rFonts w:cs="Arial"/>
          <w:i/>
          <w:sz w:val="22"/>
          <w:szCs w:val="22"/>
        </w:rPr>
        <w:t xml:space="preserve">The MAVORIC trial is the largest randomised controlled trial (RCT) in cutaneous T-cell lymphoma (CTCL), which is a rare T-cell lymphoma with poor outcomes for advanced disease and a lack of effective treatment options due to a high level of chemo-resistance. The trial included a high proportion of patients with the </w:t>
      </w:r>
      <w:proofErr w:type="spellStart"/>
      <w:r w:rsidRPr="00430FF5">
        <w:rPr>
          <w:rFonts w:cs="Arial"/>
          <w:i/>
          <w:sz w:val="22"/>
          <w:szCs w:val="22"/>
        </w:rPr>
        <w:t>leukaemic</w:t>
      </w:r>
      <w:proofErr w:type="spellEnd"/>
      <w:r w:rsidRPr="00430FF5">
        <w:rPr>
          <w:rFonts w:cs="Arial"/>
          <w:i/>
          <w:sz w:val="22"/>
          <w:szCs w:val="22"/>
        </w:rPr>
        <w:t xml:space="preserve"> stage of disease, i.e. </w:t>
      </w:r>
      <w:proofErr w:type="spellStart"/>
      <w:r w:rsidRPr="00430FF5">
        <w:rPr>
          <w:rFonts w:cs="Arial"/>
          <w:i/>
          <w:sz w:val="22"/>
          <w:szCs w:val="22"/>
        </w:rPr>
        <w:t>Sézary</w:t>
      </w:r>
      <w:proofErr w:type="spellEnd"/>
      <w:r w:rsidRPr="00430FF5">
        <w:rPr>
          <w:rFonts w:cs="Arial"/>
          <w:i/>
          <w:sz w:val="22"/>
          <w:szCs w:val="22"/>
        </w:rPr>
        <w:t xml:space="preserve"> syndrome, which is associated with a very poor prognosis and for which there are no consistently effective treatment options. The trial represents the largest series of patients with </w:t>
      </w:r>
      <w:proofErr w:type="spellStart"/>
      <w:r w:rsidRPr="00430FF5">
        <w:rPr>
          <w:rFonts w:cs="Arial"/>
          <w:i/>
          <w:sz w:val="22"/>
          <w:szCs w:val="22"/>
        </w:rPr>
        <w:t>Sézary</w:t>
      </w:r>
      <w:proofErr w:type="spellEnd"/>
      <w:r w:rsidRPr="00430FF5">
        <w:rPr>
          <w:rFonts w:cs="Arial"/>
          <w:i/>
          <w:sz w:val="22"/>
          <w:szCs w:val="22"/>
        </w:rPr>
        <w:t xml:space="preserve"> syndrome enrolled in an RCT and shows a clear benefit for patients receiving mogamulizumab, which is reflected in the clinical uptake on the compassionate access program in the UK following approval by the EMA. This also reflects the lack of approved options such as brentuximab for CD30-positive CTCL, as </w:t>
      </w:r>
      <w:proofErr w:type="spellStart"/>
      <w:r w:rsidRPr="00430FF5">
        <w:rPr>
          <w:rFonts w:cs="Arial"/>
          <w:i/>
          <w:sz w:val="22"/>
          <w:szCs w:val="22"/>
        </w:rPr>
        <w:t>Sézary</w:t>
      </w:r>
      <w:proofErr w:type="spellEnd"/>
      <w:r w:rsidRPr="00430FF5">
        <w:rPr>
          <w:rFonts w:cs="Arial"/>
          <w:i/>
          <w:sz w:val="22"/>
          <w:szCs w:val="22"/>
        </w:rPr>
        <w:t xml:space="preserve"> syndrome is invariably CD30-negative. Specifically, mogamulizumab provides people with the very rare </w:t>
      </w:r>
      <w:proofErr w:type="spellStart"/>
      <w:r w:rsidRPr="00430FF5">
        <w:rPr>
          <w:rFonts w:cs="Arial"/>
          <w:i/>
          <w:sz w:val="22"/>
          <w:szCs w:val="22"/>
        </w:rPr>
        <w:t>Sézary</w:t>
      </w:r>
      <w:proofErr w:type="spellEnd"/>
      <w:r w:rsidRPr="00430FF5">
        <w:rPr>
          <w:rFonts w:cs="Arial"/>
          <w:i/>
          <w:sz w:val="22"/>
          <w:szCs w:val="22"/>
        </w:rPr>
        <w:t xml:space="preserve"> syndrome with the opportunity of long-term remission following reduced-intensity stem cell transplantation.”</w:t>
      </w:r>
    </w:p>
    <w:p w14:paraId="1DB27A96" w14:textId="77777777" w:rsidR="00430FF5" w:rsidRPr="00430FF5" w:rsidRDefault="00430FF5" w:rsidP="00430FF5">
      <w:pPr>
        <w:jc w:val="both"/>
        <w:rPr>
          <w:rFonts w:ascii="Arial" w:hAnsi="Arial" w:cs="Arial"/>
        </w:rPr>
      </w:pPr>
      <w:r w:rsidRPr="00430FF5">
        <w:rPr>
          <w:rFonts w:ascii="Arial" w:hAnsi="Arial" w:cs="Arial"/>
        </w:rPr>
        <w:t xml:space="preserve">I understand this point to be that the FAD is unreasonable because of the Committee’s conclusions regarding the MAVORIC trial. </w:t>
      </w:r>
    </w:p>
    <w:p w14:paraId="6315813D" w14:textId="100BD2E2" w:rsidR="00430FF5" w:rsidRPr="00430FF5" w:rsidRDefault="00430FF5" w:rsidP="00430FF5">
      <w:pPr>
        <w:jc w:val="both"/>
        <w:rPr>
          <w:rFonts w:ascii="Arial" w:hAnsi="Arial" w:cs="Arial"/>
        </w:rPr>
      </w:pPr>
      <w:r w:rsidRPr="00430FF5">
        <w:rPr>
          <w:rFonts w:ascii="Arial" w:hAnsi="Arial" w:cs="Arial"/>
        </w:rPr>
        <w:t>It is important to appreciate that an appeal committee cannot redo the work of the committee on the merits, and intervenes only if the committee’s judgements are unreasonable, and it is possible for reasonable people to differ on issues without either person’s conclusion being unreasonable.</w:t>
      </w:r>
    </w:p>
    <w:p w14:paraId="4B0BFC91" w14:textId="77777777" w:rsidR="00430FF5" w:rsidRPr="00430FF5" w:rsidRDefault="00430FF5" w:rsidP="00430FF5">
      <w:pPr>
        <w:jc w:val="both"/>
        <w:rPr>
          <w:rFonts w:ascii="Arial" w:hAnsi="Arial" w:cs="Arial"/>
        </w:rPr>
      </w:pPr>
      <w:r w:rsidRPr="00430FF5">
        <w:rPr>
          <w:rFonts w:ascii="Arial" w:hAnsi="Arial" w:cs="Arial"/>
        </w:rPr>
        <w:t xml:space="preserve">I am not presently minded to refer this point to the appeal panel, as it is not in my view arguable from the information you have provided that the Committee’s assessment of the MAVORIC trial evidence was unreasonable. </w:t>
      </w:r>
    </w:p>
    <w:p w14:paraId="25E526BC" w14:textId="79952853" w:rsidR="00430FF5" w:rsidRPr="00430FF5" w:rsidRDefault="00430FF5" w:rsidP="00430FF5">
      <w:pPr>
        <w:jc w:val="both"/>
        <w:rPr>
          <w:rFonts w:ascii="Arial" w:hAnsi="Arial" w:cs="Arial"/>
        </w:rPr>
      </w:pPr>
      <w:r w:rsidRPr="00430FF5">
        <w:rPr>
          <w:rFonts w:ascii="Arial" w:hAnsi="Arial" w:cs="Arial"/>
        </w:rPr>
        <w:t xml:space="preserve">You are entitled to submit further clarification and/or evidence to me within the next 10 working days, </w:t>
      </w:r>
      <w:r>
        <w:rPr>
          <w:rFonts w:ascii="Arial" w:hAnsi="Arial" w:cs="Arial"/>
        </w:rPr>
        <w:t xml:space="preserve">no later than </w:t>
      </w:r>
      <w:r w:rsidRPr="00430FF5">
        <w:rPr>
          <w:rFonts w:ascii="Arial" w:hAnsi="Arial" w:cs="Arial"/>
          <w:b/>
          <w:bCs/>
        </w:rPr>
        <w:t>Monday 12 April 2021</w:t>
      </w:r>
      <w:r>
        <w:rPr>
          <w:rFonts w:ascii="Arial" w:hAnsi="Arial" w:cs="Arial"/>
        </w:rPr>
        <w:t xml:space="preserve">, </w:t>
      </w:r>
      <w:r w:rsidRPr="00430FF5">
        <w:rPr>
          <w:rFonts w:ascii="Arial" w:hAnsi="Arial" w:cs="Arial"/>
        </w:rPr>
        <w:t xml:space="preserve">and I will then give a final decision on the points to put before an appeal panel.  If your appeal point was not referred forward this would not prevent you attending the appeal jointly with UKCLG and supporting their arguments. </w:t>
      </w:r>
    </w:p>
    <w:p w14:paraId="630BCEE4" w14:textId="7D41BA82" w:rsidR="00430FF5" w:rsidRPr="00430FF5" w:rsidRDefault="00430FF5" w:rsidP="00430FF5">
      <w:pPr>
        <w:jc w:val="both"/>
        <w:rPr>
          <w:rFonts w:ascii="Arial" w:hAnsi="Arial" w:cs="Arial"/>
        </w:rPr>
      </w:pPr>
      <w:r w:rsidRPr="00430FF5">
        <w:rPr>
          <w:rFonts w:ascii="Arial" w:hAnsi="Arial" w:cs="Arial"/>
        </w:rPr>
        <w:t xml:space="preserve">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If the appeal letter and/or responses to scrutiny contain confidential information please ensure you have provided a version with this information redacted by </w:t>
      </w:r>
      <w:r w:rsidRPr="00430FF5">
        <w:rPr>
          <w:rFonts w:ascii="Arial" w:hAnsi="Arial" w:cs="Arial"/>
          <w:b/>
          <w:bCs/>
        </w:rPr>
        <w:t>Tuesday 20 April 2021</w:t>
      </w:r>
      <w:r w:rsidRPr="00430FF5">
        <w:rPr>
          <w:rFonts w:ascii="Arial" w:hAnsi="Arial" w:cs="Arial"/>
        </w:rPr>
        <w:t>.</w:t>
      </w:r>
    </w:p>
    <w:p w14:paraId="570CDD70" w14:textId="77777777" w:rsidR="00430FF5" w:rsidRPr="00430FF5" w:rsidRDefault="00430FF5" w:rsidP="00430FF5">
      <w:pPr>
        <w:rPr>
          <w:rFonts w:ascii="Arial" w:hAnsi="Arial" w:cs="Arial"/>
        </w:rPr>
      </w:pPr>
    </w:p>
    <w:p w14:paraId="0236CFAA" w14:textId="77777777" w:rsidR="004675B7" w:rsidRPr="004675B7" w:rsidRDefault="004675B7" w:rsidP="004675B7">
      <w:pPr>
        <w:widowControl w:val="0"/>
        <w:spacing w:before="240" w:after="240" w:line="240" w:lineRule="auto"/>
        <w:jc w:val="both"/>
        <w:rPr>
          <w:rFonts w:ascii="Arial" w:hAnsi="Arial" w:cs="Arial"/>
          <w:sz w:val="24"/>
          <w:szCs w:val="24"/>
          <w:lang w:eastAsia="en-GB"/>
        </w:rPr>
      </w:pPr>
      <w:r w:rsidRPr="004675B7">
        <w:rPr>
          <w:rFonts w:ascii="Arial" w:hAnsi="Arial" w:cs="Arial"/>
          <w:sz w:val="24"/>
          <w:szCs w:val="24"/>
          <w:lang w:eastAsia="en-GB"/>
        </w:rPr>
        <w:lastRenderedPageBreak/>
        <w:t xml:space="preserve">Yours sincerely </w:t>
      </w:r>
    </w:p>
    <w:p w14:paraId="0CACFD55" w14:textId="6A8CE52F" w:rsidR="00131D2B" w:rsidRPr="00131D2B" w:rsidRDefault="00131D2B" w:rsidP="00131D2B">
      <w:pPr>
        <w:widowControl w:val="0"/>
        <w:spacing w:before="240" w:after="240" w:line="240" w:lineRule="auto"/>
        <w:jc w:val="both"/>
        <w:rPr>
          <w:rFonts w:ascii="Arial" w:hAnsi="Arial" w:cs="Arial"/>
          <w:sz w:val="24"/>
          <w:szCs w:val="24"/>
          <w:lang w:eastAsia="en-GB"/>
        </w:rPr>
      </w:pPr>
    </w:p>
    <w:p w14:paraId="637F620B" w14:textId="77777777" w:rsidR="00131D2B" w:rsidRPr="00131D2B" w:rsidRDefault="00131D2B" w:rsidP="00131D2B">
      <w:pPr>
        <w:widowControl w:val="0"/>
        <w:spacing w:before="240" w:after="240" w:line="240" w:lineRule="auto"/>
        <w:jc w:val="both"/>
        <w:rPr>
          <w:rFonts w:ascii="Arial" w:hAnsi="Arial" w:cs="Arial"/>
          <w:sz w:val="24"/>
          <w:szCs w:val="24"/>
          <w:lang w:eastAsia="en-GB"/>
        </w:rPr>
      </w:pPr>
      <w:r w:rsidRPr="00131D2B">
        <w:rPr>
          <w:rFonts w:ascii="Arial" w:hAnsi="Arial" w:cs="Arial"/>
          <w:sz w:val="24"/>
          <w:szCs w:val="24"/>
          <w:lang w:eastAsia="en-GB"/>
        </w:rPr>
        <w:t>Tim Irish</w:t>
      </w:r>
    </w:p>
    <w:p w14:paraId="28E13ABB" w14:textId="5CF6987A" w:rsidR="00131D2B" w:rsidRPr="00131D2B" w:rsidRDefault="00131D2B" w:rsidP="00131D2B">
      <w:pPr>
        <w:widowControl w:val="0"/>
        <w:spacing w:before="240" w:after="240" w:line="240" w:lineRule="auto"/>
        <w:jc w:val="both"/>
        <w:rPr>
          <w:rFonts w:ascii="Arial" w:hAnsi="Arial" w:cs="Arial"/>
          <w:sz w:val="24"/>
          <w:szCs w:val="24"/>
          <w:lang w:eastAsia="en-GB"/>
        </w:rPr>
      </w:pPr>
      <w:r w:rsidRPr="00131D2B">
        <w:rPr>
          <w:rFonts w:ascii="Arial" w:hAnsi="Arial" w:cs="Arial"/>
          <w:sz w:val="24"/>
          <w:szCs w:val="24"/>
          <w:lang w:eastAsia="en-GB"/>
        </w:rPr>
        <w:t>Vice</w:t>
      </w:r>
      <w:r w:rsidR="00394EB2">
        <w:rPr>
          <w:rFonts w:ascii="Arial" w:hAnsi="Arial" w:cs="Arial"/>
          <w:sz w:val="24"/>
          <w:szCs w:val="24"/>
          <w:lang w:eastAsia="en-GB"/>
        </w:rPr>
        <w:t xml:space="preserve"> </w:t>
      </w:r>
      <w:r w:rsidRPr="00131D2B">
        <w:rPr>
          <w:rFonts w:ascii="Arial" w:hAnsi="Arial" w:cs="Arial"/>
          <w:sz w:val="24"/>
          <w:szCs w:val="24"/>
          <w:lang w:eastAsia="en-GB"/>
        </w:rPr>
        <w:t>Chair</w:t>
      </w:r>
    </w:p>
    <w:p w14:paraId="6396DFA3" w14:textId="77777777" w:rsidR="00131D2B" w:rsidRPr="00131D2B" w:rsidRDefault="00131D2B" w:rsidP="00131D2B">
      <w:pPr>
        <w:widowControl w:val="0"/>
        <w:spacing w:before="240" w:after="240" w:line="240" w:lineRule="auto"/>
        <w:jc w:val="both"/>
        <w:rPr>
          <w:rFonts w:ascii="Arial" w:hAnsi="Arial" w:cs="Arial"/>
          <w:sz w:val="24"/>
          <w:szCs w:val="24"/>
          <w:lang w:eastAsia="en-GB"/>
        </w:rPr>
      </w:pPr>
      <w:r w:rsidRPr="00131D2B">
        <w:rPr>
          <w:rFonts w:ascii="Arial" w:hAnsi="Arial" w:cs="Arial"/>
          <w:sz w:val="24"/>
          <w:szCs w:val="24"/>
          <w:lang w:eastAsia="en-GB"/>
        </w:rPr>
        <w:t>National Institute for Health and Care Excellence</w:t>
      </w:r>
    </w:p>
    <w:p w14:paraId="03E7BAFA" w14:textId="228E4268" w:rsidR="000B36E1" w:rsidRPr="00D96B81" w:rsidRDefault="000B36E1" w:rsidP="00131D2B">
      <w:pPr>
        <w:widowControl w:val="0"/>
        <w:spacing w:before="240" w:after="240" w:line="240" w:lineRule="auto"/>
        <w:jc w:val="both"/>
        <w:rPr>
          <w:rFonts w:ascii="Arial" w:hAnsi="Arial" w:cs="Arial"/>
          <w:sz w:val="24"/>
          <w:szCs w:val="24"/>
        </w:rPr>
      </w:pPr>
    </w:p>
    <w:sectPr w:rsidR="000B36E1" w:rsidRPr="00D96B81" w:rsidSect="000B36E1">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3A79B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6FFC96ED">
          <wp:simplePos x="0" y="0"/>
          <wp:positionH relativeFrom="margin">
            <wp:align>center</wp:align>
          </wp:positionH>
          <wp:positionV relativeFrom="margin">
            <wp:posOffset>8340560</wp:posOffset>
          </wp:positionV>
          <wp:extent cx="7000002" cy="509268"/>
          <wp:effectExtent l="0" t="0" r="0" b="5715"/>
          <wp:wrapNone/>
          <wp:docPr id="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58C2A3C9"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4836F15E">
          <wp:simplePos x="0" y="0"/>
          <wp:positionH relativeFrom="margin">
            <wp:posOffset>-699770</wp:posOffset>
          </wp:positionH>
          <wp:positionV relativeFrom="margin">
            <wp:posOffset>-1206817</wp:posOffset>
          </wp:positionV>
          <wp:extent cx="2800350" cy="496570"/>
          <wp:effectExtent l="0" t="0" r="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Pr="005E0434">
      <w:rPr>
        <w:rFonts w:ascii="Arial" w:hAnsi="Arial" w:cs="Arial"/>
        <w:color w:val="0E0E0E"/>
        <w:sz w:val="20"/>
        <w:szCs w:val="20"/>
      </w:rPr>
      <w:t>10 Spring Gardens</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SW1A 2BU</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053B8"/>
    <w:rsid w:val="000468DC"/>
    <w:rsid w:val="00085181"/>
    <w:rsid w:val="0008737F"/>
    <w:rsid w:val="00093FAF"/>
    <w:rsid w:val="000B352B"/>
    <w:rsid w:val="000B36E1"/>
    <w:rsid w:val="00131D2B"/>
    <w:rsid w:val="00176AA4"/>
    <w:rsid w:val="001C4C0F"/>
    <w:rsid w:val="001D5BD2"/>
    <w:rsid w:val="0022689E"/>
    <w:rsid w:val="00301188"/>
    <w:rsid w:val="003028A0"/>
    <w:rsid w:val="00320722"/>
    <w:rsid w:val="00321B75"/>
    <w:rsid w:val="00394EB2"/>
    <w:rsid w:val="003A3E2E"/>
    <w:rsid w:val="003A79BD"/>
    <w:rsid w:val="003D614E"/>
    <w:rsid w:val="004215D9"/>
    <w:rsid w:val="00430FF5"/>
    <w:rsid w:val="00453774"/>
    <w:rsid w:val="004675B7"/>
    <w:rsid w:val="00493D2F"/>
    <w:rsid w:val="004C2D22"/>
    <w:rsid w:val="004E4493"/>
    <w:rsid w:val="004F29D7"/>
    <w:rsid w:val="005B078B"/>
    <w:rsid w:val="005E0434"/>
    <w:rsid w:val="0067278F"/>
    <w:rsid w:val="0069376C"/>
    <w:rsid w:val="006D0C62"/>
    <w:rsid w:val="006F031D"/>
    <w:rsid w:val="00732227"/>
    <w:rsid w:val="00736283"/>
    <w:rsid w:val="009E2F15"/>
    <w:rsid w:val="00AE303D"/>
    <w:rsid w:val="00B32B71"/>
    <w:rsid w:val="00B772B2"/>
    <w:rsid w:val="00C30733"/>
    <w:rsid w:val="00C71F14"/>
    <w:rsid w:val="00C96687"/>
    <w:rsid w:val="00D96B81"/>
    <w:rsid w:val="00E03263"/>
    <w:rsid w:val="00E622D7"/>
    <w:rsid w:val="00EA3919"/>
    <w:rsid w:val="00EE6553"/>
    <w:rsid w:val="00F1265E"/>
    <w:rsid w:val="00F233EA"/>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character" w:styleId="Hyperlink">
    <w:name w:val="Hyperlink"/>
    <w:basedOn w:val="DefaultParagraphFont"/>
    <w:uiPriority w:val="99"/>
    <w:unhideWhenUsed/>
    <w:rsid w:val="00D96B81"/>
    <w:rPr>
      <w:color w:val="0000FF" w:themeColor="hyperlink"/>
      <w:u w:val="single"/>
    </w:rPr>
  </w:style>
  <w:style w:type="character" w:styleId="UnresolvedMention">
    <w:name w:val="Unresolved Mention"/>
    <w:basedOn w:val="DefaultParagraphFont"/>
    <w:uiPriority w:val="99"/>
    <w:semiHidden/>
    <w:unhideWhenUsed/>
    <w:rsid w:val="00D96B81"/>
    <w:rPr>
      <w:color w:val="605E5C"/>
      <w:shd w:val="clear" w:color="auto" w:fill="E1DFDD"/>
    </w:rPr>
  </w:style>
  <w:style w:type="paragraph" w:styleId="ListParagraph">
    <w:name w:val="List Paragraph"/>
    <w:basedOn w:val="Normal"/>
    <w:uiPriority w:val="34"/>
    <w:qFormat/>
    <w:rsid w:val="00430FF5"/>
    <w:pPr>
      <w:spacing w:after="0" w:line="288" w:lineRule="auto"/>
      <w:ind w:left="720"/>
      <w:contextualSpacing/>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5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rouz@bad.org.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674F-B31D-444D-8DA2-97F304D4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2</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Lucinda Evans</cp:lastModifiedBy>
  <cp:revision>3</cp:revision>
  <cp:lastPrinted>2017-02-13T09:51:00Z</cp:lastPrinted>
  <dcterms:created xsi:type="dcterms:W3CDTF">2021-04-22T09:04:00Z</dcterms:created>
  <dcterms:modified xsi:type="dcterms:W3CDTF">2021-04-22T09:07:00Z</dcterms:modified>
</cp:coreProperties>
</file>