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CB4AE" w14:textId="77777777" w:rsidR="0034525F" w:rsidRPr="000F48EC" w:rsidRDefault="0034525F" w:rsidP="0034525F">
      <w:pPr>
        <w:pStyle w:val="Title2"/>
      </w:pPr>
      <w:r w:rsidRPr="000F48EC">
        <w:t>NATIONAL INSTITUTE FOR HEALTH AND C</w:t>
      </w:r>
      <w:r>
        <w:t>ARE</w:t>
      </w:r>
      <w:r w:rsidRPr="000F48EC">
        <w:t xml:space="preserve"> EXCELLENCE</w:t>
      </w:r>
    </w:p>
    <w:p w14:paraId="37AC4ECE" w14:textId="77777777" w:rsidR="0034525F" w:rsidRPr="000F48EC" w:rsidRDefault="0034525F" w:rsidP="0034525F">
      <w:pPr>
        <w:pStyle w:val="Title2"/>
      </w:pPr>
      <w:r>
        <w:t>Appraisal consultation document</w:t>
      </w:r>
    </w:p>
    <w:p w14:paraId="6857F546" w14:textId="47A07158" w:rsidR="0034525F" w:rsidRDefault="0034525F" w:rsidP="0034525F">
      <w:pPr>
        <w:pStyle w:val="Title1"/>
      </w:pPr>
      <w:r w:rsidRPr="003464EC">
        <w:t xml:space="preserve">Daratumumab in combination for untreated multiple myeloma when </w:t>
      </w:r>
      <w:r w:rsidR="008C633E">
        <w:t xml:space="preserve">a </w:t>
      </w:r>
      <w:r w:rsidRPr="003464EC">
        <w:t>stem cell transplant is suitable</w:t>
      </w:r>
    </w:p>
    <w:p w14:paraId="1169605D" w14:textId="0FE2AB88" w:rsidR="0034525F" w:rsidRDefault="0034525F" w:rsidP="0034525F">
      <w:pPr>
        <w:pStyle w:val="NICEnormalsinglespacing"/>
      </w:pPr>
      <w:r>
        <w:t>The Department of Health and Social Care has asked the National Institute for Health and Care Excellence (NICE) to produce guidance on using daratumumab in combination in the NHS in England. The appraisal committee has considered the evidence submitted by the company and the views of non-company consultees and commentators, clinical experts and patient experts.</w:t>
      </w:r>
    </w:p>
    <w:p w14:paraId="12A292C6" w14:textId="05DB4964" w:rsidR="0034525F" w:rsidRDefault="0034525F" w:rsidP="0034525F">
      <w:pPr>
        <w:pStyle w:val="NICEnormalsinglespacing"/>
      </w:pPr>
      <w:r w:rsidRPr="00791280">
        <w:rPr>
          <w:rStyle w:val="NICEnormalChar"/>
          <w:b/>
          <w:bCs/>
        </w:rPr>
        <w:t>This document has been prepared for consultation with the consultees.</w:t>
      </w:r>
      <w:r>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w:t>
      </w:r>
      <w:hyperlink r:id="rId8" w:history="1">
        <w:r>
          <w:rPr>
            <w:rStyle w:val="Hyperlink"/>
          </w:rPr>
          <w:t>committee papers</w:t>
        </w:r>
      </w:hyperlink>
      <w:r>
        <w:t>).</w:t>
      </w:r>
    </w:p>
    <w:p w14:paraId="01E5783F" w14:textId="77777777" w:rsidR="0034525F" w:rsidRDefault="0034525F" w:rsidP="0034525F">
      <w:pPr>
        <w:pStyle w:val="NICEnormalsinglespacing"/>
      </w:pPr>
      <w:r>
        <w:t>The appraisal committee is interested in receiving comments on the following:</w:t>
      </w:r>
    </w:p>
    <w:p w14:paraId="5B42B2D8" w14:textId="77777777" w:rsidR="0034525F" w:rsidRDefault="0034525F" w:rsidP="0034525F">
      <w:pPr>
        <w:pStyle w:val="Bulletleft1"/>
        <w:spacing w:line="240" w:lineRule="auto"/>
      </w:pPr>
      <w:r>
        <w:t>Has all of the relevant evidence been taken into account?</w:t>
      </w:r>
    </w:p>
    <w:p w14:paraId="28D3FDE3" w14:textId="77777777" w:rsidR="0034525F" w:rsidRDefault="0034525F" w:rsidP="0034525F">
      <w:pPr>
        <w:pStyle w:val="Bulletleft1"/>
        <w:spacing w:line="240" w:lineRule="auto"/>
      </w:pPr>
      <w:r>
        <w:t>Are the summaries of clinical and cost effectiveness reasonable interpretations of the evidence?</w:t>
      </w:r>
    </w:p>
    <w:p w14:paraId="67BFA9C8" w14:textId="77777777" w:rsidR="0034525F" w:rsidRDefault="0034525F" w:rsidP="0034525F">
      <w:pPr>
        <w:pStyle w:val="Bulletleft1"/>
        <w:spacing w:line="240" w:lineRule="auto"/>
      </w:pPr>
      <w:r>
        <w:t>Are the recommendations sound and a suitable basis for guidance to the NHS?</w:t>
      </w:r>
    </w:p>
    <w:p w14:paraId="3EE13FF6" w14:textId="77777777" w:rsidR="0034525F" w:rsidRDefault="0034525F" w:rsidP="0034525F">
      <w:pPr>
        <w:pStyle w:val="Bulletleft1"/>
        <w:spacing w:line="240" w:lineRule="auto"/>
      </w:pPr>
      <w:r>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p w14:paraId="625FA631" w14:textId="77777777" w:rsidR="0034525F" w:rsidRDefault="0034525F" w:rsidP="0034525F">
      <w:pPr>
        <w:rPr>
          <w:rFonts w:ascii="Arial" w:hAnsi="Arial"/>
          <w:b/>
          <w:bCs/>
        </w:rPr>
      </w:pPr>
      <w:r>
        <w:rPr>
          <w:b/>
          <w:bCs/>
        </w:rPr>
        <w:br w:type="page"/>
      </w:r>
    </w:p>
    <w:p w14:paraId="0A77A03D" w14:textId="77777777" w:rsidR="0034525F" w:rsidRPr="004921C3" w:rsidRDefault="0034525F" w:rsidP="0034525F">
      <w:pPr>
        <w:pStyle w:val="NICEnormalsinglespacing"/>
        <w:rPr>
          <w:b/>
          <w:bCs/>
        </w:rPr>
      </w:pPr>
      <w:r w:rsidRPr="004921C3">
        <w:rPr>
          <w:b/>
          <w:bCs/>
        </w:rPr>
        <w:lastRenderedPageBreak/>
        <w:t>Note that this document is not NICE's final guidance on this technology. The recommendations in section 1 may change after consultation.</w:t>
      </w:r>
    </w:p>
    <w:p w14:paraId="2A4AEFFF" w14:textId="77777777" w:rsidR="0034525F" w:rsidRDefault="0034525F" w:rsidP="0034525F">
      <w:pPr>
        <w:pStyle w:val="NICEnormalsinglespacing"/>
      </w:pPr>
      <w:r>
        <w:t>After consultation:</w:t>
      </w:r>
    </w:p>
    <w:p w14:paraId="17E5C715" w14:textId="77777777" w:rsidR="0034525F" w:rsidRDefault="0034525F" w:rsidP="0034525F">
      <w:pPr>
        <w:pStyle w:val="Bulletleft1"/>
        <w:spacing w:line="240" w:lineRule="auto"/>
      </w:pPr>
      <w:r>
        <w:t>The appraisal committee will meet again to consider the evidence, this appraisal consultation document and comments from the consultees.</w:t>
      </w:r>
    </w:p>
    <w:p w14:paraId="65132201" w14:textId="77777777" w:rsidR="0034525F" w:rsidRDefault="0034525F" w:rsidP="0034525F">
      <w:pPr>
        <w:pStyle w:val="Bulletleft1"/>
        <w:spacing w:line="240" w:lineRule="auto"/>
      </w:pPr>
      <w:r>
        <w:t>At that meeting, the committee will also consider comments made by people who are not consultees.</w:t>
      </w:r>
    </w:p>
    <w:p w14:paraId="2A0C751A" w14:textId="77777777" w:rsidR="0034525F" w:rsidRDefault="0034525F" w:rsidP="0034525F">
      <w:pPr>
        <w:pStyle w:val="Bulletleft1"/>
        <w:spacing w:line="240" w:lineRule="auto"/>
      </w:pPr>
      <w:r>
        <w:t>After considering these comments, the committee will prepare the final appraisal document.</w:t>
      </w:r>
    </w:p>
    <w:p w14:paraId="3AF54023" w14:textId="489B31A8" w:rsidR="0034525F" w:rsidRDefault="0034525F" w:rsidP="0034525F">
      <w:pPr>
        <w:pStyle w:val="Bulletleft1last"/>
        <w:spacing w:line="240" w:lineRule="auto"/>
      </w:pPr>
      <w:r>
        <w:t>Subject to any appeal by consultees, the final appraisal document may be used as the basis for NICE's guidance on using d</w:t>
      </w:r>
      <w:r w:rsidRPr="004A24FA">
        <w:t>aratumumab in combination</w:t>
      </w:r>
      <w:r w:rsidRPr="00FB5140">
        <w:t xml:space="preserve"> </w:t>
      </w:r>
      <w:r>
        <w:t>in the NHS in England.</w:t>
      </w:r>
    </w:p>
    <w:p w14:paraId="6DAA4273" w14:textId="77777777" w:rsidR="0034525F" w:rsidRDefault="0034525F" w:rsidP="0034525F">
      <w:pPr>
        <w:pStyle w:val="NICEnormalsinglespacing"/>
      </w:pPr>
      <w:r>
        <w:t xml:space="preserve">For further details, see </w:t>
      </w:r>
      <w:hyperlink r:id="rId9" w:history="1">
        <w:r w:rsidRPr="00C55873">
          <w:rPr>
            <w:rStyle w:val="Hyperlink"/>
          </w:rPr>
          <w:t>NICE's guide to the processes of technology appraisal</w:t>
        </w:r>
      </w:hyperlink>
      <w:r>
        <w:t>.</w:t>
      </w:r>
    </w:p>
    <w:p w14:paraId="37C41769" w14:textId="77777777" w:rsidR="0034525F" w:rsidRDefault="0034525F" w:rsidP="0034525F">
      <w:pPr>
        <w:pStyle w:val="NICEnormalsinglespacing"/>
      </w:pPr>
      <w:r>
        <w:t>The key dates for this appraisal are:</w:t>
      </w:r>
    </w:p>
    <w:p w14:paraId="78C2E4B1" w14:textId="22E172E9" w:rsidR="0034525F" w:rsidRDefault="0034525F" w:rsidP="0034525F">
      <w:pPr>
        <w:pStyle w:val="NICEnormalsinglespacing"/>
      </w:pPr>
      <w:r>
        <w:t xml:space="preserve">Closing date for comments: </w:t>
      </w:r>
      <w:r w:rsidR="004A4B41">
        <w:t>Friday 18 June 2021</w:t>
      </w:r>
    </w:p>
    <w:p w14:paraId="67CC5A6D" w14:textId="7E449554" w:rsidR="0034525F" w:rsidRDefault="0034525F" w:rsidP="0034525F">
      <w:pPr>
        <w:pStyle w:val="NICEnormalsinglespacing"/>
      </w:pPr>
      <w:r>
        <w:t xml:space="preserve">Second appraisal committee meeting: </w:t>
      </w:r>
      <w:r w:rsidR="004A4B41">
        <w:t>Wednesday 7 July 2021</w:t>
      </w:r>
    </w:p>
    <w:p w14:paraId="25B5F8D1" w14:textId="2D89C283" w:rsidR="0034525F" w:rsidRDefault="0034525F" w:rsidP="0034525F">
      <w:pPr>
        <w:pStyle w:val="Bulletleft1"/>
        <w:numPr>
          <w:ilvl w:val="0"/>
          <w:numId w:val="0"/>
        </w:numPr>
        <w:spacing w:line="240" w:lineRule="auto"/>
        <w:ind w:left="284" w:hanging="284"/>
      </w:pPr>
      <w:r>
        <w:t xml:space="preserve">Details of membership of the appraisal committee are given in section </w:t>
      </w:r>
      <w:r w:rsidR="004A4B41">
        <w:t>5</w:t>
      </w:r>
    </w:p>
    <w:p w14:paraId="51172F02" w14:textId="77777777" w:rsidR="0034525F" w:rsidRDefault="0034525F" w:rsidP="0034525F">
      <w:pPr>
        <w:rPr>
          <w:rFonts w:ascii="Arial" w:hAnsi="Arial"/>
          <w:highlight w:val="darkGray"/>
        </w:rPr>
      </w:pPr>
      <w:r>
        <w:rPr>
          <w:highlight w:val="darkGray"/>
        </w:rPr>
        <w:br w:type="page"/>
      </w:r>
    </w:p>
    <w:p w14:paraId="01734BB4" w14:textId="77777777" w:rsidR="0034525F" w:rsidRPr="000F48EC" w:rsidRDefault="0034525F" w:rsidP="0034525F">
      <w:pPr>
        <w:pStyle w:val="Numberedheading1"/>
        <w:numPr>
          <w:ilvl w:val="0"/>
          <w:numId w:val="1"/>
        </w:numPr>
      </w:pPr>
      <w:r>
        <w:lastRenderedPageBreak/>
        <w:t>Recommendations</w:t>
      </w:r>
    </w:p>
    <w:p w14:paraId="3F2BE20D" w14:textId="13A5F762" w:rsidR="0034525F" w:rsidRDefault="0034525F" w:rsidP="0034525F">
      <w:pPr>
        <w:pStyle w:val="Numberedlevel2text"/>
        <w:numPr>
          <w:ilvl w:val="1"/>
          <w:numId w:val="1"/>
        </w:numPr>
      </w:pPr>
      <w:r w:rsidRPr="004A24FA">
        <w:t xml:space="preserve">Daratumumab </w:t>
      </w:r>
      <w:r w:rsidR="006B1C06">
        <w:rPr>
          <w:lang w:val="en-GB"/>
        </w:rPr>
        <w:t xml:space="preserve">plus </w:t>
      </w:r>
      <w:r w:rsidR="006B1C06" w:rsidRPr="006B1C06">
        <w:t>bortezomib</w:t>
      </w:r>
      <w:r w:rsidR="001F0382">
        <w:rPr>
          <w:lang w:val="en-GB"/>
        </w:rPr>
        <w:t xml:space="preserve">, </w:t>
      </w:r>
      <w:r w:rsidR="006B1C06" w:rsidRPr="006B1C06">
        <w:t>thalidomide</w:t>
      </w:r>
      <w:r w:rsidR="008C633E">
        <w:rPr>
          <w:lang w:val="en-GB"/>
        </w:rPr>
        <w:t xml:space="preserve"> </w:t>
      </w:r>
      <w:r w:rsidR="001F0382">
        <w:rPr>
          <w:lang w:val="en-GB"/>
        </w:rPr>
        <w:t>and</w:t>
      </w:r>
      <w:r w:rsidR="006B1C06" w:rsidRPr="006B1C06">
        <w:t xml:space="preserve"> dexamethasone </w:t>
      </w:r>
      <w:r w:rsidRPr="004A24FA">
        <w:t xml:space="preserve">is not recommended, within its marketing authorisation, as </w:t>
      </w:r>
      <w:r>
        <w:rPr>
          <w:lang w:val="en-GB"/>
        </w:rPr>
        <w:t>induction and consolidation</w:t>
      </w:r>
      <w:r w:rsidRPr="004A24FA">
        <w:t xml:space="preserve"> treatment for untreated multiple myeloma </w:t>
      </w:r>
      <w:r w:rsidR="008C633E">
        <w:rPr>
          <w:lang w:val="en-GB"/>
        </w:rPr>
        <w:t>in adults</w:t>
      </w:r>
      <w:r w:rsidR="001101B2">
        <w:rPr>
          <w:lang w:val="en-GB"/>
        </w:rPr>
        <w:t>,</w:t>
      </w:r>
      <w:r w:rsidR="008C633E">
        <w:rPr>
          <w:lang w:val="en-GB"/>
        </w:rPr>
        <w:t xml:space="preserve"> </w:t>
      </w:r>
      <w:r w:rsidRPr="004A24FA">
        <w:t xml:space="preserve">when </w:t>
      </w:r>
      <w:r w:rsidR="008C633E">
        <w:rPr>
          <w:lang w:val="en-GB"/>
        </w:rPr>
        <w:t>a</w:t>
      </w:r>
      <w:r w:rsidR="00CC5501">
        <w:rPr>
          <w:lang w:val="en-GB"/>
        </w:rPr>
        <w:t>n autologous</w:t>
      </w:r>
      <w:r w:rsidR="008C633E">
        <w:rPr>
          <w:lang w:val="en-GB"/>
        </w:rPr>
        <w:t xml:space="preserve"> </w:t>
      </w:r>
      <w:r w:rsidRPr="004A24FA">
        <w:t>stem cell transplant is suitable.</w:t>
      </w:r>
    </w:p>
    <w:p w14:paraId="118BE644" w14:textId="24BA0A48" w:rsidR="0034525F" w:rsidRDefault="0034525F" w:rsidP="0034525F">
      <w:pPr>
        <w:pStyle w:val="Numberedlevel2text"/>
        <w:numPr>
          <w:ilvl w:val="1"/>
          <w:numId w:val="1"/>
        </w:numPr>
      </w:pPr>
      <w:r w:rsidRPr="0009129B">
        <w:t>This</w:t>
      </w:r>
      <w:r>
        <w:t xml:space="preserve"> recommendation</w:t>
      </w:r>
      <w:r>
        <w:rPr>
          <w:lang w:val="en-GB"/>
        </w:rPr>
        <w:t xml:space="preserve"> </w:t>
      </w:r>
      <w:r>
        <w:t>is</w:t>
      </w:r>
      <w:r w:rsidRPr="0009129B">
        <w:t xml:space="preserve"> not intended to affect </w:t>
      </w:r>
      <w:r w:rsidRPr="006A2D99">
        <w:t xml:space="preserve">treatment with </w:t>
      </w:r>
      <w:r>
        <w:t>d</w:t>
      </w:r>
      <w:r w:rsidRPr="004A24FA">
        <w:t xml:space="preserve">aratumumab </w:t>
      </w:r>
      <w:r w:rsidR="006B1C06" w:rsidRPr="006B1C06">
        <w:t>plus bortezomib</w:t>
      </w:r>
      <w:r w:rsidR="001F0382">
        <w:rPr>
          <w:lang w:val="en-GB"/>
        </w:rPr>
        <w:t>,</w:t>
      </w:r>
      <w:r w:rsidR="00095FFF">
        <w:rPr>
          <w:lang w:val="en-GB"/>
        </w:rPr>
        <w:t xml:space="preserve"> </w:t>
      </w:r>
      <w:r w:rsidR="006B1C06" w:rsidRPr="006B1C06">
        <w:t xml:space="preserve">thalidomide </w:t>
      </w:r>
      <w:r w:rsidR="001F0382">
        <w:rPr>
          <w:lang w:val="en-GB"/>
        </w:rPr>
        <w:t>and</w:t>
      </w:r>
      <w:r w:rsidR="001F0382" w:rsidRPr="006B1C06">
        <w:t xml:space="preserve"> </w:t>
      </w:r>
      <w:r w:rsidR="006B1C06" w:rsidRPr="006B1C06">
        <w:t xml:space="preserve">dexamethasone </w:t>
      </w:r>
      <w:r>
        <w:t xml:space="preserve">that </w:t>
      </w:r>
      <w:r w:rsidRPr="006A2D99">
        <w:t>was started in the NHS befo</w:t>
      </w:r>
      <w:r>
        <w:t>re this guidance was published. People having treatment outside this</w:t>
      </w:r>
      <w:r>
        <w:rPr>
          <w:lang w:val="en-GB"/>
        </w:rPr>
        <w:t xml:space="preserve"> </w:t>
      </w:r>
      <w:r>
        <w:t xml:space="preserve">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p w14:paraId="3F0D7FF7" w14:textId="77777777" w:rsidR="0034525F" w:rsidRPr="008522C6" w:rsidRDefault="0034525F" w:rsidP="0034525F">
      <w:pPr>
        <w:pStyle w:val="NICEnormal"/>
        <w:rPr>
          <w:b/>
        </w:rPr>
      </w:pPr>
      <w:r w:rsidRPr="008522C6">
        <w:rPr>
          <w:b/>
        </w:rPr>
        <w:t>Why the committee made these recommendations</w:t>
      </w:r>
    </w:p>
    <w:p w14:paraId="69521DDF" w14:textId="2123A8B3" w:rsidR="00034B42" w:rsidRDefault="00034B42" w:rsidP="0034525F">
      <w:pPr>
        <w:pStyle w:val="NICEnormal"/>
      </w:pPr>
      <w:bookmarkStart w:id="0" w:name="_Hlk71534115"/>
      <w:r w:rsidRPr="00034B42">
        <w:t>Most</w:t>
      </w:r>
      <w:r>
        <w:t xml:space="preserve"> people with </w:t>
      </w:r>
      <w:r w:rsidRPr="00034B42">
        <w:t xml:space="preserve">untreated multiple myeloma </w:t>
      </w:r>
      <w:r w:rsidR="001101B2">
        <w:t>who have an autologous stem cell transplant have</w:t>
      </w:r>
      <w:r w:rsidRPr="00034B42">
        <w:t xml:space="preserve"> bortezomib plus thalidomide </w:t>
      </w:r>
      <w:r w:rsidR="000562CF">
        <w:t>and</w:t>
      </w:r>
      <w:r w:rsidR="000562CF" w:rsidRPr="00034B42">
        <w:t xml:space="preserve"> </w:t>
      </w:r>
      <w:r w:rsidRPr="00034B42">
        <w:t>dexamethasone</w:t>
      </w:r>
      <w:r w:rsidR="00AA5D81">
        <w:t xml:space="preserve"> </w:t>
      </w:r>
      <w:r w:rsidR="00213B76">
        <w:t xml:space="preserve">induction therapy </w:t>
      </w:r>
      <w:r w:rsidR="00AA5D81">
        <w:t xml:space="preserve">before their transplant. </w:t>
      </w:r>
      <w:r w:rsidR="00F40A67">
        <w:t>As an alternative, d</w:t>
      </w:r>
      <w:r w:rsidR="00AA5D81">
        <w:t xml:space="preserve">aratumumab </w:t>
      </w:r>
      <w:r w:rsidR="001101B2">
        <w:t>would be added (daratumumab in combination)</w:t>
      </w:r>
      <w:r w:rsidR="00AA5D81">
        <w:t xml:space="preserve">, </w:t>
      </w:r>
      <w:r w:rsidR="00F40A67">
        <w:t xml:space="preserve">but </w:t>
      </w:r>
      <w:r w:rsidR="00555957">
        <w:t>this treatment would</w:t>
      </w:r>
      <w:r w:rsidR="00AA5D81">
        <w:t xml:space="preserve"> also be continued </w:t>
      </w:r>
      <w:r w:rsidR="000562CF">
        <w:t xml:space="preserve">for a short period </w:t>
      </w:r>
      <w:r w:rsidR="00F40A67">
        <w:t xml:space="preserve">after transplant </w:t>
      </w:r>
      <w:r w:rsidR="00AA5D81">
        <w:t>(consolidation).</w:t>
      </w:r>
    </w:p>
    <w:p w14:paraId="52DB887F" w14:textId="322C857C" w:rsidR="00AA5D81" w:rsidRDefault="00AA5D81" w:rsidP="0034525F">
      <w:pPr>
        <w:pStyle w:val="NICEnormal"/>
      </w:pPr>
      <w:r>
        <w:t xml:space="preserve">Clinical trial results show that, compared with </w:t>
      </w:r>
      <w:r w:rsidRPr="00AA5D81">
        <w:t xml:space="preserve">bortezomib plus thalidomide </w:t>
      </w:r>
      <w:r w:rsidR="000562CF">
        <w:t>and</w:t>
      </w:r>
      <w:r w:rsidR="000562CF" w:rsidRPr="00AA5D81">
        <w:t xml:space="preserve"> </w:t>
      </w:r>
      <w:r w:rsidRPr="00AA5D81">
        <w:t>dexamethasone</w:t>
      </w:r>
      <w:r>
        <w:t xml:space="preserve">, </w:t>
      </w:r>
      <w:r w:rsidR="00555957">
        <w:t>adding</w:t>
      </w:r>
      <w:r>
        <w:t xml:space="preserve"> daratumumab </w:t>
      </w:r>
      <w:r w:rsidR="00555957">
        <w:t>increases how long people live and extends the time before the condition gets worse.</w:t>
      </w:r>
    </w:p>
    <w:p w14:paraId="3A665E69" w14:textId="222ABA16" w:rsidR="003F4748" w:rsidRDefault="000763C3" w:rsidP="0034525F">
      <w:pPr>
        <w:pStyle w:val="NICEnormal"/>
      </w:pPr>
      <w:r>
        <w:t>But assumptions in the economic model around how long the effect of daratumumab lasts</w:t>
      </w:r>
      <w:r w:rsidR="00E06EC2">
        <w:t xml:space="preserve"> and</w:t>
      </w:r>
      <w:r>
        <w:t xml:space="preserve"> how long people live are uncertain.</w:t>
      </w:r>
      <w:r w:rsidR="00FE4B69">
        <w:t xml:space="preserve"> Also</w:t>
      </w:r>
      <w:r w:rsidR="007C3B4F">
        <w:t xml:space="preserve">, the model </w:t>
      </w:r>
      <w:r w:rsidR="00C27F80">
        <w:t>does</w:t>
      </w:r>
      <w:r w:rsidR="007C3B4F">
        <w:t xml:space="preserve"> not reflect what happens in the NHS in England</w:t>
      </w:r>
      <w:r w:rsidR="00FE4B69">
        <w:t>.</w:t>
      </w:r>
    </w:p>
    <w:p w14:paraId="2F3E6BF2" w14:textId="6CB993DE" w:rsidR="00FE4B69" w:rsidRDefault="00E06EC2" w:rsidP="0034525F">
      <w:pPr>
        <w:pStyle w:val="NICEnormal"/>
      </w:pPr>
      <w:r>
        <w:t>T</w:t>
      </w:r>
      <w:r w:rsidR="00FE4B69">
        <w:t>he cost-effectiveness estimates are likely to be higher than what NICE considers acceptable.</w:t>
      </w:r>
      <w:r w:rsidR="007C3B4F">
        <w:t xml:space="preserve"> </w:t>
      </w:r>
      <w:r w:rsidR="00FE4B69">
        <w:t xml:space="preserve">So, </w:t>
      </w:r>
      <w:r w:rsidR="00FE4B69" w:rsidRPr="00FE4B69">
        <w:t>daratumumab plus bortezomib</w:t>
      </w:r>
      <w:r w:rsidR="000562CF">
        <w:t xml:space="preserve">, </w:t>
      </w:r>
      <w:r w:rsidR="00FE4B69" w:rsidRPr="00FE4B69">
        <w:t xml:space="preserve">thalidomide </w:t>
      </w:r>
      <w:r w:rsidR="000562CF">
        <w:t>and</w:t>
      </w:r>
      <w:r w:rsidR="000562CF" w:rsidRPr="00FE4B69">
        <w:t xml:space="preserve"> </w:t>
      </w:r>
      <w:r w:rsidR="00FE4B69" w:rsidRPr="00FE4B69">
        <w:t>dexamethasone</w:t>
      </w:r>
      <w:r w:rsidR="00FE4B69">
        <w:t xml:space="preserve"> cannot be recommended for </w:t>
      </w:r>
      <w:r w:rsidR="007C3B4F">
        <w:t>use in the NHS</w:t>
      </w:r>
      <w:r w:rsidR="00FE4B69">
        <w:t>.</w:t>
      </w:r>
    </w:p>
    <w:bookmarkEnd w:id="0"/>
    <w:p w14:paraId="1D9D44E0" w14:textId="77777777" w:rsidR="0034525F" w:rsidRDefault="0034525F" w:rsidP="0034525F">
      <w:pPr>
        <w:pStyle w:val="Numberedheading1"/>
        <w:keepLines/>
        <w:numPr>
          <w:ilvl w:val="0"/>
          <w:numId w:val="1"/>
        </w:numPr>
      </w:pPr>
      <w:r>
        <w:lastRenderedPageBreak/>
        <w:t>Information about daratumumab</w:t>
      </w:r>
    </w:p>
    <w:p w14:paraId="35680BCF" w14:textId="77777777" w:rsidR="0034525F" w:rsidRDefault="0034525F" w:rsidP="0034525F">
      <w:pPr>
        <w:pStyle w:val="Heading2"/>
      </w:pPr>
      <w:r w:rsidRPr="00A76391">
        <w:t>Marketing authorisation indication</w:t>
      </w:r>
    </w:p>
    <w:p w14:paraId="7399D425" w14:textId="5D9A1E51" w:rsidR="0034525F" w:rsidRPr="004A24FA" w:rsidRDefault="0034525F" w:rsidP="0034525F">
      <w:pPr>
        <w:pStyle w:val="Numberedlevel2text"/>
        <w:numPr>
          <w:ilvl w:val="1"/>
          <w:numId w:val="1"/>
        </w:numPr>
        <w:rPr>
          <w:rStyle w:val="NICEnormalChar"/>
          <w:szCs w:val="28"/>
          <w:lang w:val="x-none"/>
        </w:rPr>
      </w:pPr>
      <w:r>
        <w:rPr>
          <w:rStyle w:val="NICEnormalChar"/>
          <w:szCs w:val="28"/>
        </w:rPr>
        <w:t>Daratumumab (Darzalex,</w:t>
      </w:r>
      <w:r w:rsidRPr="00DE0766">
        <w:t xml:space="preserve"> </w:t>
      </w:r>
      <w:r w:rsidRPr="00DE0766">
        <w:rPr>
          <w:rStyle w:val="NICEnormalChar"/>
          <w:szCs w:val="28"/>
        </w:rPr>
        <w:t>Janssen</w:t>
      </w:r>
      <w:r w:rsidR="001F0382">
        <w:rPr>
          <w:rStyle w:val="NICEnormalChar"/>
          <w:szCs w:val="28"/>
        </w:rPr>
        <w:noBreakHyphen/>
      </w:r>
      <w:r w:rsidRPr="00DE0766">
        <w:rPr>
          <w:rStyle w:val="NICEnormalChar"/>
          <w:szCs w:val="28"/>
        </w:rPr>
        <w:t>Cilag</w:t>
      </w:r>
      <w:r>
        <w:rPr>
          <w:rStyle w:val="NICEnormalChar"/>
          <w:szCs w:val="28"/>
        </w:rPr>
        <w:t xml:space="preserve">) </w:t>
      </w:r>
      <w:r w:rsidRPr="004A24FA">
        <w:rPr>
          <w:rStyle w:val="NICEnormalChar"/>
          <w:szCs w:val="28"/>
          <w:lang w:val="x-none"/>
        </w:rPr>
        <w:t>in combination with bortezomib, thalidomide and dexamethasone</w:t>
      </w:r>
      <w:r w:rsidR="006467A1">
        <w:rPr>
          <w:rStyle w:val="NICEnormalChar"/>
          <w:szCs w:val="28"/>
        </w:rPr>
        <w:t>,</w:t>
      </w:r>
      <w:r w:rsidRPr="004A24FA">
        <w:rPr>
          <w:rStyle w:val="NICEnormalChar"/>
          <w:szCs w:val="28"/>
          <w:lang w:val="x-none"/>
        </w:rPr>
        <w:t xml:space="preserve"> </w:t>
      </w:r>
      <w:r>
        <w:rPr>
          <w:rStyle w:val="NICEnormalChar"/>
          <w:szCs w:val="28"/>
        </w:rPr>
        <w:t>is indicated ‘</w:t>
      </w:r>
      <w:r w:rsidRPr="004A24FA">
        <w:rPr>
          <w:rStyle w:val="NICEnormalChar"/>
          <w:szCs w:val="28"/>
          <w:lang w:val="x-none"/>
        </w:rPr>
        <w:t>for the treatment of adult patients with newly diagnosed multiple myeloma who are eligible for autologous stem cell transplant</w:t>
      </w:r>
      <w:r>
        <w:rPr>
          <w:rStyle w:val="NICEnormalChar"/>
          <w:szCs w:val="28"/>
        </w:rPr>
        <w:t>’.</w:t>
      </w:r>
    </w:p>
    <w:p w14:paraId="6F6C8860" w14:textId="77777777" w:rsidR="0034525F" w:rsidRDefault="0034525F" w:rsidP="0034525F">
      <w:pPr>
        <w:pStyle w:val="Heading2"/>
      </w:pPr>
      <w:r>
        <w:t>Dosage in the marketing authorisation</w:t>
      </w:r>
    </w:p>
    <w:p w14:paraId="31B8AB4F" w14:textId="7109B71E" w:rsidR="0034525F" w:rsidRPr="00570524" w:rsidRDefault="0034525F" w:rsidP="0034525F">
      <w:pPr>
        <w:pStyle w:val="Numberedlevel2text"/>
        <w:numPr>
          <w:ilvl w:val="1"/>
          <w:numId w:val="1"/>
        </w:numPr>
        <w:rPr>
          <w:rStyle w:val="Numberedlevel2textChar"/>
        </w:rPr>
      </w:pPr>
      <w:r w:rsidRPr="00570524">
        <w:t xml:space="preserve">The dosage schedule is available in </w:t>
      </w:r>
      <w:r>
        <w:t xml:space="preserve">the </w:t>
      </w:r>
      <w:hyperlink r:id="rId10" w:history="1">
        <w:r w:rsidR="001F0382" w:rsidRPr="001F0382">
          <w:rPr>
            <w:rStyle w:val="Hyperlink"/>
          </w:rPr>
          <w:t>summary of product characteristics</w:t>
        </w:r>
      </w:hyperlink>
      <w:r>
        <w:t>.</w:t>
      </w:r>
    </w:p>
    <w:p w14:paraId="1490C6D9" w14:textId="77777777" w:rsidR="0034525F" w:rsidRDefault="0034525F" w:rsidP="0034525F">
      <w:pPr>
        <w:pStyle w:val="Heading2"/>
      </w:pPr>
      <w:r>
        <w:t>Price</w:t>
      </w:r>
    </w:p>
    <w:p w14:paraId="112941CF" w14:textId="7980E97D" w:rsidR="0034525F" w:rsidRDefault="0034525F" w:rsidP="002B71FE">
      <w:pPr>
        <w:pStyle w:val="Numberedlevel2text"/>
        <w:numPr>
          <w:ilvl w:val="1"/>
          <w:numId w:val="1"/>
        </w:numPr>
      </w:pPr>
      <w:r w:rsidRPr="00DE0766">
        <w:t xml:space="preserve">The list price for </w:t>
      </w:r>
      <w:r>
        <w:rPr>
          <w:lang w:val="en-GB"/>
        </w:rPr>
        <w:t>daratumumab</w:t>
      </w:r>
      <w:r w:rsidRPr="00DE0766">
        <w:t xml:space="preserve"> is £</w:t>
      </w:r>
      <w:r>
        <w:rPr>
          <w:lang w:val="en-GB"/>
        </w:rPr>
        <w:t>4</w:t>
      </w:r>
      <w:r w:rsidRPr="00DE0766">
        <w:t>,</w:t>
      </w:r>
      <w:r>
        <w:rPr>
          <w:lang w:val="en-GB"/>
        </w:rPr>
        <w:t>32</w:t>
      </w:r>
      <w:r w:rsidRPr="00DE0766">
        <w:t>0 per 1,800</w:t>
      </w:r>
      <w:r w:rsidR="00F42C8F">
        <w:rPr>
          <w:lang w:val="en-GB"/>
        </w:rPr>
        <w:t> </w:t>
      </w:r>
      <w:r w:rsidRPr="00DE0766">
        <w:t xml:space="preserve">mg </w:t>
      </w:r>
      <w:r w:rsidR="00C27F80">
        <w:rPr>
          <w:lang w:val="en-GB"/>
        </w:rPr>
        <w:t>vial of solution for injection intended for a fixed-dose subcutaneous administration</w:t>
      </w:r>
      <w:r w:rsidRPr="00DE0766">
        <w:t xml:space="preserve"> (excluding VAT; </w:t>
      </w:r>
      <w:r w:rsidR="006B1C06">
        <w:rPr>
          <w:lang w:val="en-GB"/>
        </w:rPr>
        <w:t>BNF online</w:t>
      </w:r>
      <w:r w:rsidRPr="00DE0766">
        <w:t xml:space="preserve">, </w:t>
      </w:r>
      <w:r w:rsidR="006B1C06">
        <w:rPr>
          <w:lang w:val="en-GB"/>
        </w:rPr>
        <w:t xml:space="preserve">accessed </w:t>
      </w:r>
      <w:r>
        <w:rPr>
          <w:lang w:val="en-GB"/>
        </w:rPr>
        <w:t>May 2021</w:t>
      </w:r>
      <w:r w:rsidRPr="00DE0766">
        <w:t xml:space="preserve">). </w:t>
      </w:r>
      <w:r>
        <w:rPr>
          <w:lang w:val="en-GB"/>
        </w:rPr>
        <w:t xml:space="preserve">It is also available as a </w:t>
      </w:r>
      <w:r w:rsidRPr="00EB182C">
        <w:rPr>
          <w:lang w:val="en-GB"/>
        </w:rPr>
        <w:t xml:space="preserve">concentrate for solution for </w:t>
      </w:r>
      <w:r>
        <w:rPr>
          <w:lang w:val="en-GB"/>
        </w:rPr>
        <w:t xml:space="preserve">intravenous </w:t>
      </w:r>
      <w:r w:rsidRPr="00EB182C">
        <w:rPr>
          <w:lang w:val="en-GB"/>
        </w:rPr>
        <w:t xml:space="preserve">infusion </w:t>
      </w:r>
      <w:r>
        <w:rPr>
          <w:lang w:val="en-GB"/>
        </w:rPr>
        <w:t xml:space="preserve">with </w:t>
      </w:r>
      <w:r w:rsidR="00861554">
        <w:rPr>
          <w:lang w:val="en-GB"/>
        </w:rPr>
        <w:t>a list price of £360 per 100</w:t>
      </w:r>
      <w:r w:rsidR="00F42C8F">
        <w:rPr>
          <w:lang w:val="en-GB"/>
        </w:rPr>
        <w:t> </w:t>
      </w:r>
      <w:r w:rsidR="00861554">
        <w:rPr>
          <w:lang w:val="en-GB"/>
        </w:rPr>
        <w:t>mg vial</w:t>
      </w:r>
      <w:r w:rsidR="002B71FE">
        <w:rPr>
          <w:lang w:val="en-GB"/>
        </w:rPr>
        <w:t>, and £1,440 per 400</w:t>
      </w:r>
      <w:r w:rsidR="00F42C8F">
        <w:rPr>
          <w:lang w:val="en-GB"/>
        </w:rPr>
        <w:t> </w:t>
      </w:r>
      <w:r w:rsidR="002B71FE">
        <w:rPr>
          <w:lang w:val="en-GB"/>
        </w:rPr>
        <w:t xml:space="preserve">mg vial </w:t>
      </w:r>
      <w:r w:rsidR="002B71FE" w:rsidRPr="002B71FE">
        <w:rPr>
          <w:lang w:val="en-GB"/>
        </w:rPr>
        <w:t>(excluding VAT; BNF online, accessed May 2021)</w:t>
      </w:r>
      <w:r w:rsidR="002B71FE">
        <w:rPr>
          <w:lang w:val="en-GB"/>
        </w:rPr>
        <w:t xml:space="preserve">. </w:t>
      </w:r>
      <w:r w:rsidRPr="00DE0766">
        <w:t xml:space="preserve">The company has a commercial arrangement. This makes </w:t>
      </w:r>
      <w:r w:rsidRPr="002B71FE">
        <w:rPr>
          <w:lang w:val="en-GB"/>
        </w:rPr>
        <w:t>daratumumab</w:t>
      </w:r>
      <w:r w:rsidRPr="00DE0766">
        <w:t xml:space="preserve"> available to the NHS with a discount, which would have applied to this indication if the technology had been recommended. The size of the discount is commercial in confidence. It is the company’s responsibility to let relevant NHS organisations know details of the discount.</w:t>
      </w:r>
    </w:p>
    <w:p w14:paraId="44D2EAF7" w14:textId="33B9667F" w:rsidR="00861554" w:rsidRPr="00754276" w:rsidRDefault="002B71FE" w:rsidP="0034525F">
      <w:pPr>
        <w:pStyle w:val="Numberedlevel2text"/>
        <w:numPr>
          <w:ilvl w:val="1"/>
          <w:numId w:val="1"/>
        </w:numPr>
        <w:rPr>
          <w:color w:val="000000" w:themeColor="text1"/>
        </w:rPr>
      </w:pPr>
      <w:r w:rsidRPr="00157A10">
        <w:rPr>
          <w:color w:val="000000" w:themeColor="text1"/>
          <w:lang w:val="en-GB"/>
        </w:rPr>
        <w:t xml:space="preserve">The list price for bortezomib is </w:t>
      </w:r>
      <w:r w:rsidR="00157A10" w:rsidRPr="00157A10">
        <w:rPr>
          <w:color w:val="000000" w:themeColor="text1"/>
          <w:lang w:val="en-GB"/>
        </w:rPr>
        <w:t>£762.38 per 3.5</w:t>
      </w:r>
      <w:r w:rsidR="00B4110F">
        <w:rPr>
          <w:color w:val="000000" w:themeColor="text1"/>
          <w:lang w:val="en-GB"/>
        </w:rPr>
        <w:t> </w:t>
      </w:r>
      <w:r w:rsidR="00157A10" w:rsidRPr="00157A10">
        <w:rPr>
          <w:color w:val="000000" w:themeColor="text1"/>
          <w:lang w:val="en-GB"/>
        </w:rPr>
        <w:t>mg vial (excluding VAT; BNF online, accessed May 2021). There is a</w:t>
      </w:r>
      <w:r w:rsidR="00157A10">
        <w:rPr>
          <w:color w:val="000000" w:themeColor="text1"/>
          <w:lang w:val="en-GB"/>
        </w:rPr>
        <w:t xml:space="preserve"> </w:t>
      </w:r>
      <w:r w:rsidR="00157A10" w:rsidRPr="00157A10">
        <w:rPr>
          <w:color w:val="000000" w:themeColor="text1"/>
          <w:lang w:val="en-GB"/>
        </w:rPr>
        <w:t xml:space="preserve">price reduction for bortezomib </w:t>
      </w:r>
      <w:r w:rsidR="00157A10">
        <w:rPr>
          <w:color w:val="000000" w:themeColor="text1"/>
          <w:lang w:val="en-GB"/>
        </w:rPr>
        <w:t xml:space="preserve">agreed </w:t>
      </w:r>
      <w:r w:rsidR="00157A10" w:rsidRPr="00157A10">
        <w:rPr>
          <w:color w:val="000000" w:themeColor="text1"/>
          <w:lang w:val="en-GB"/>
        </w:rPr>
        <w:t>with the Commercial Medicines Unit. The prices agreed through the framework are commercial in confidence.</w:t>
      </w:r>
    </w:p>
    <w:p w14:paraId="6A9DF3B9" w14:textId="54673951" w:rsidR="00754276" w:rsidRPr="00583F11" w:rsidRDefault="00754276" w:rsidP="0034525F">
      <w:pPr>
        <w:pStyle w:val="Numberedlevel2text"/>
        <w:numPr>
          <w:ilvl w:val="1"/>
          <w:numId w:val="1"/>
        </w:numPr>
        <w:rPr>
          <w:color w:val="000000" w:themeColor="text1"/>
        </w:rPr>
      </w:pPr>
      <w:r>
        <w:rPr>
          <w:color w:val="000000" w:themeColor="text1"/>
          <w:lang w:val="en-GB"/>
        </w:rPr>
        <w:t>The list price for thalidomide is £298.48 per 28-pack of 50-mg capsules (excluding VAT; BNF online, accessed May 2021).</w:t>
      </w:r>
    </w:p>
    <w:p w14:paraId="6BB2BFD1" w14:textId="01444937" w:rsidR="00583F11" w:rsidRPr="00157A10" w:rsidRDefault="00583F11" w:rsidP="0034525F">
      <w:pPr>
        <w:pStyle w:val="Numberedlevel2text"/>
        <w:numPr>
          <w:ilvl w:val="1"/>
          <w:numId w:val="1"/>
        </w:numPr>
        <w:rPr>
          <w:color w:val="000000" w:themeColor="text1"/>
        </w:rPr>
      </w:pPr>
      <w:r>
        <w:rPr>
          <w:color w:val="000000" w:themeColor="text1"/>
          <w:lang w:val="en-GB"/>
        </w:rPr>
        <w:lastRenderedPageBreak/>
        <w:t>There is a nationally available price reduction for dexamethasone with the Commercial Medicines Unit. The prices agreed through the framework are commercial in confidence.</w:t>
      </w:r>
    </w:p>
    <w:p w14:paraId="76CE66E8" w14:textId="77777777" w:rsidR="0034525F" w:rsidRPr="00A41DFF" w:rsidRDefault="0034525F" w:rsidP="0034525F">
      <w:pPr>
        <w:pStyle w:val="Numberedheading1"/>
        <w:numPr>
          <w:ilvl w:val="0"/>
          <w:numId w:val="1"/>
        </w:numPr>
      </w:pPr>
      <w:r w:rsidRPr="00A41DFF">
        <w:t>Committee discussion</w:t>
      </w:r>
    </w:p>
    <w:p w14:paraId="674EC1C6" w14:textId="43D61926" w:rsidR="0034525F" w:rsidRDefault="0034525F" w:rsidP="0034525F">
      <w:pPr>
        <w:pStyle w:val="NICEnormal"/>
      </w:pPr>
      <w:r w:rsidRPr="007D7F83">
        <w:t xml:space="preserve">The </w:t>
      </w:r>
      <w:hyperlink r:id="rId11" w:history="1">
        <w:r w:rsidRPr="00B4212A">
          <w:rPr>
            <w:rStyle w:val="Hyperlink"/>
          </w:rPr>
          <w:t>appraisal committee</w:t>
        </w:r>
      </w:hyperlink>
      <w:r w:rsidRPr="007D7F83">
        <w:t xml:space="preserve"> considered evidence submitted by </w:t>
      </w:r>
      <w:r w:rsidRPr="00B4212A">
        <w:t>Janssen</w:t>
      </w:r>
      <w:r w:rsidR="00B4110F">
        <w:noBreakHyphen/>
      </w:r>
      <w:r w:rsidRPr="00B4212A">
        <w:t>Cilag</w:t>
      </w:r>
      <w:r>
        <w:t>,</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and responses from stakeholders</w:t>
      </w:r>
      <w:r w:rsidRPr="007D7F83">
        <w:t>.</w:t>
      </w:r>
      <w:r>
        <w:t xml:space="preserve"> See the </w:t>
      </w:r>
      <w:hyperlink r:id="rId12" w:history="1">
        <w:r w:rsidRPr="00B4212A">
          <w:rPr>
            <w:rStyle w:val="Hyperlink"/>
          </w:rPr>
          <w:t xml:space="preserve">committee papers </w:t>
        </w:r>
      </w:hyperlink>
      <w:r>
        <w:t>for full details of the evidence</w:t>
      </w:r>
      <w:r w:rsidRPr="000F2D8A">
        <w:t>.</w:t>
      </w:r>
    </w:p>
    <w:p w14:paraId="536CAD8F" w14:textId="18C2D6F7" w:rsidR="0034525F" w:rsidRPr="00034B42" w:rsidRDefault="00E145EF" w:rsidP="0034525F">
      <w:pPr>
        <w:pStyle w:val="NICEnormal"/>
        <w:rPr>
          <w:color w:val="000000" w:themeColor="text1"/>
        </w:rPr>
      </w:pPr>
      <w:r w:rsidRPr="00034B42">
        <w:rPr>
          <w:color w:val="000000" w:themeColor="text1"/>
        </w:rPr>
        <w:t>The committee recognised that there were remaining areas of uncertainty</w:t>
      </w:r>
      <w:r w:rsidR="004752E1" w:rsidRPr="00034B42">
        <w:rPr>
          <w:color w:val="000000" w:themeColor="text1"/>
        </w:rPr>
        <w:t xml:space="preserve"> associated with the analyses presented, and took these into account in its decision making. It discussed the following issues, which were outstanding after the technical engagement stage:</w:t>
      </w:r>
    </w:p>
    <w:p w14:paraId="05BD840C" w14:textId="2BBE649B" w:rsidR="004752E1" w:rsidRPr="00034B42" w:rsidRDefault="004752E1" w:rsidP="00034B42">
      <w:pPr>
        <w:pStyle w:val="NICEnormal"/>
        <w:numPr>
          <w:ilvl w:val="0"/>
          <w:numId w:val="34"/>
        </w:numPr>
        <w:spacing w:after="120"/>
        <w:ind w:left="357" w:hanging="357"/>
        <w:rPr>
          <w:color w:val="000000" w:themeColor="text1"/>
        </w:rPr>
      </w:pPr>
      <w:r w:rsidRPr="00034B42">
        <w:rPr>
          <w:color w:val="000000" w:themeColor="text1"/>
        </w:rPr>
        <w:t>the uncertainty in the hazard ratios from the company’s meta</w:t>
      </w:r>
      <w:r w:rsidR="00F54D2D">
        <w:rPr>
          <w:color w:val="000000" w:themeColor="text1"/>
        </w:rPr>
        <w:noBreakHyphen/>
      </w:r>
      <w:r w:rsidRPr="00034B42">
        <w:rPr>
          <w:color w:val="000000" w:themeColor="text1"/>
        </w:rPr>
        <w:t>analysis on the relationship between minimal residual disease status and survival outcomes (issue</w:t>
      </w:r>
      <w:r w:rsidR="00247960">
        <w:rPr>
          <w:color w:val="000000" w:themeColor="text1"/>
        </w:rPr>
        <w:t> </w:t>
      </w:r>
      <w:r w:rsidRPr="00034B42">
        <w:rPr>
          <w:color w:val="000000" w:themeColor="text1"/>
        </w:rPr>
        <w:t>1, see ERG report page</w:t>
      </w:r>
      <w:r w:rsidR="00F54D2D">
        <w:rPr>
          <w:color w:val="000000" w:themeColor="text1"/>
        </w:rPr>
        <w:t> </w:t>
      </w:r>
      <w:r w:rsidRPr="00034B42">
        <w:rPr>
          <w:color w:val="000000" w:themeColor="text1"/>
        </w:rPr>
        <w:t>14)</w:t>
      </w:r>
    </w:p>
    <w:p w14:paraId="462CDC1C" w14:textId="55F7D12A" w:rsidR="004752E1" w:rsidRPr="00034B42" w:rsidRDefault="004752E1" w:rsidP="00034B42">
      <w:pPr>
        <w:pStyle w:val="NICEnormal"/>
        <w:numPr>
          <w:ilvl w:val="0"/>
          <w:numId w:val="34"/>
        </w:numPr>
        <w:spacing w:after="120"/>
        <w:ind w:left="357" w:hanging="357"/>
        <w:rPr>
          <w:color w:val="000000" w:themeColor="text1"/>
        </w:rPr>
      </w:pPr>
      <w:r w:rsidRPr="00034B42">
        <w:rPr>
          <w:color w:val="000000" w:themeColor="text1"/>
        </w:rPr>
        <w:t>the most appropriate definition of minimal residual disease negativity (issue</w:t>
      </w:r>
      <w:r w:rsidR="00247960">
        <w:rPr>
          <w:color w:val="000000" w:themeColor="text1"/>
        </w:rPr>
        <w:t> </w:t>
      </w:r>
      <w:r w:rsidRPr="00034B42">
        <w:rPr>
          <w:color w:val="000000" w:themeColor="text1"/>
        </w:rPr>
        <w:t>2, see ERG report page</w:t>
      </w:r>
      <w:r w:rsidR="00FD04C6">
        <w:rPr>
          <w:color w:val="000000" w:themeColor="text1"/>
        </w:rPr>
        <w:t> </w:t>
      </w:r>
      <w:r w:rsidRPr="00034B42">
        <w:rPr>
          <w:color w:val="000000" w:themeColor="text1"/>
        </w:rPr>
        <w:t>15)</w:t>
      </w:r>
    </w:p>
    <w:p w14:paraId="72115A2C" w14:textId="4DA6C84D" w:rsidR="004752E1" w:rsidRPr="00034B42" w:rsidRDefault="00034B42" w:rsidP="00034B42">
      <w:pPr>
        <w:pStyle w:val="NICEnormal"/>
        <w:numPr>
          <w:ilvl w:val="0"/>
          <w:numId w:val="34"/>
        </w:numPr>
        <w:spacing w:after="120"/>
        <w:ind w:left="357" w:hanging="357"/>
        <w:rPr>
          <w:color w:val="000000" w:themeColor="text1"/>
        </w:rPr>
      </w:pPr>
      <w:r w:rsidRPr="00034B42">
        <w:rPr>
          <w:color w:val="000000" w:themeColor="text1"/>
        </w:rPr>
        <w:t>the most plausible long</w:t>
      </w:r>
      <w:r w:rsidR="002E7D2C">
        <w:rPr>
          <w:color w:val="000000" w:themeColor="text1"/>
        </w:rPr>
        <w:noBreakHyphen/>
      </w:r>
      <w:r w:rsidRPr="00034B42">
        <w:rPr>
          <w:color w:val="000000" w:themeColor="text1"/>
        </w:rPr>
        <w:t xml:space="preserve">term survival extrapolations for people having </w:t>
      </w:r>
      <w:r w:rsidR="00026E84">
        <w:rPr>
          <w:color w:val="000000" w:themeColor="text1"/>
        </w:rPr>
        <w:t xml:space="preserve">bortezomib plus thalidomide </w:t>
      </w:r>
      <w:r w:rsidR="002E7D2C">
        <w:rPr>
          <w:color w:val="000000" w:themeColor="text1"/>
        </w:rPr>
        <w:t xml:space="preserve">and </w:t>
      </w:r>
      <w:r w:rsidR="00026E84">
        <w:rPr>
          <w:color w:val="000000" w:themeColor="text1"/>
        </w:rPr>
        <w:t>dexamethasone</w:t>
      </w:r>
      <w:r w:rsidRPr="00034B42">
        <w:rPr>
          <w:color w:val="000000" w:themeColor="text1"/>
        </w:rPr>
        <w:t xml:space="preserve"> (issue</w:t>
      </w:r>
      <w:r w:rsidR="00247960">
        <w:rPr>
          <w:color w:val="000000" w:themeColor="text1"/>
        </w:rPr>
        <w:t> </w:t>
      </w:r>
      <w:r w:rsidRPr="00034B42">
        <w:rPr>
          <w:color w:val="000000" w:themeColor="text1"/>
        </w:rPr>
        <w:t>4, see ERG report page</w:t>
      </w:r>
      <w:r w:rsidR="002E7D2C">
        <w:rPr>
          <w:color w:val="000000" w:themeColor="text1"/>
        </w:rPr>
        <w:t> </w:t>
      </w:r>
      <w:r w:rsidRPr="00034B42">
        <w:rPr>
          <w:color w:val="000000" w:themeColor="text1"/>
        </w:rPr>
        <w:t>17)</w:t>
      </w:r>
    </w:p>
    <w:p w14:paraId="2AE34D3A" w14:textId="36FCC827" w:rsidR="00034B42" w:rsidRPr="00034B42" w:rsidRDefault="00034B42" w:rsidP="00034B42">
      <w:pPr>
        <w:pStyle w:val="NICEnormal"/>
        <w:numPr>
          <w:ilvl w:val="0"/>
          <w:numId w:val="34"/>
        </w:numPr>
        <w:spacing w:after="120"/>
        <w:ind w:left="357" w:hanging="357"/>
        <w:rPr>
          <w:color w:val="000000" w:themeColor="text1"/>
        </w:rPr>
      </w:pPr>
      <w:r w:rsidRPr="00034B42">
        <w:rPr>
          <w:color w:val="000000" w:themeColor="text1"/>
        </w:rPr>
        <w:t xml:space="preserve">uncertainty </w:t>
      </w:r>
      <w:r w:rsidR="00247960">
        <w:rPr>
          <w:color w:val="000000" w:themeColor="text1"/>
        </w:rPr>
        <w:t>around</w:t>
      </w:r>
      <w:r w:rsidR="00247960" w:rsidRPr="00034B42">
        <w:rPr>
          <w:color w:val="000000" w:themeColor="text1"/>
        </w:rPr>
        <w:t xml:space="preserve"> </w:t>
      </w:r>
      <w:r w:rsidRPr="00034B42">
        <w:rPr>
          <w:color w:val="000000" w:themeColor="text1"/>
        </w:rPr>
        <w:t>the treatment effect of daratumumab on progression</w:t>
      </w:r>
      <w:r w:rsidR="00247960">
        <w:rPr>
          <w:color w:val="000000" w:themeColor="text1"/>
        </w:rPr>
        <w:noBreakHyphen/>
      </w:r>
      <w:r w:rsidRPr="00034B42">
        <w:rPr>
          <w:color w:val="000000" w:themeColor="text1"/>
        </w:rPr>
        <w:t>free</w:t>
      </w:r>
      <w:r w:rsidR="00404658">
        <w:rPr>
          <w:color w:val="000000" w:themeColor="text1"/>
        </w:rPr>
        <w:t xml:space="preserve"> survival</w:t>
      </w:r>
      <w:r w:rsidRPr="00034B42">
        <w:rPr>
          <w:color w:val="000000" w:themeColor="text1"/>
        </w:rPr>
        <w:t xml:space="preserve"> and overall survival, based on the company’s landmark analysis (issue</w:t>
      </w:r>
      <w:r w:rsidR="00247960">
        <w:rPr>
          <w:color w:val="000000" w:themeColor="text1"/>
        </w:rPr>
        <w:t> </w:t>
      </w:r>
      <w:r w:rsidRPr="00034B42">
        <w:rPr>
          <w:color w:val="000000" w:themeColor="text1"/>
        </w:rPr>
        <w:t>5, see ERG report page</w:t>
      </w:r>
      <w:r w:rsidR="00247960">
        <w:rPr>
          <w:color w:val="000000" w:themeColor="text1"/>
        </w:rPr>
        <w:t> </w:t>
      </w:r>
      <w:r w:rsidRPr="00034B42">
        <w:rPr>
          <w:color w:val="000000" w:themeColor="text1"/>
        </w:rPr>
        <w:t>18)</w:t>
      </w:r>
    </w:p>
    <w:p w14:paraId="3D7CF0D7" w14:textId="2FA0DA99" w:rsidR="00034B42" w:rsidRPr="00034B42" w:rsidRDefault="00034B42" w:rsidP="00034B42">
      <w:pPr>
        <w:pStyle w:val="NICEnormal"/>
        <w:numPr>
          <w:ilvl w:val="0"/>
          <w:numId w:val="34"/>
        </w:numPr>
        <w:ind w:left="357" w:hanging="357"/>
        <w:rPr>
          <w:color w:val="000000" w:themeColor="text1"/>
        </w:rPr>
      </w:pPr>
      <w:r w:rsidRPr="00034B42">
        <w:rPr>
          <w:color w:val="000000" w:themeColor="text1"/>
        </w:rPr>
        <w:t>how long the treatment</w:t>
      </w:r>
      <w:r w:rsidR="00247960">
        <w:rPr>
          <w:color w:val="000000" w:themeColor="text1"/>
        </w:rPr>
        <w:t xml:space="preserve"> effect of</w:t>
      </w:r>
      <w:r w:rsidRPr="00034B42">
        <w:rPr>
          <w:color w:val="000000" w:themeColor="text1"/>
        </w:rPr>
        <w:t xml:space="preserve"> daratumumab lasts (issue</w:t>
      </w:r>
      <w:r w:rsidR="00247960">
        <w:rPr>
          <w:color w:val="000000" w:themeColor="text1"/>
        </w:rPr>
        <w:t> </w:t>
      </w:r>
      <w:r w:rsidRPr="00034B42">
        <w:rPr>
          <w:color w:val="000000" w:themeColor="text1"/>
        </w:rPr>
        <w:t>6, see ERG report page</w:t>
      </w:r>
      <w:r w:rsidR="00247960">
        <w:rPr>
          <w:color w:val="000000" w:themeColor="text1"/>
        </w:rPr>
        <w:t> </w:t>
      </w:r>
      <w:r w:rsidRPr="00034B42">
        <w:rPr>
          <w:color w:val="000000" w:themeColor="text1"/>
        </w:rPr>
        <w:t>19).</w:t>
      </w:r>
    </w:p>
    <w:p w14:paraId="0B4B1E9E" w14:textId="77777777" w:rsidR="0034525F" w:rsidRDefault="0034525F" w:rsidP="0034525F">
      <w:pPr>
        <w:pStyle w:val="Heading2"/>
      </w:pPr>
      <w:r w:rsidRPr="00E37564">
        <w:lastRenderedPageBreak/>
        <w:t>New treatment option</w:t>
      </w:r>
    </w:p>
    <w:p w14:paraId="5BE25ACE" w14:textId="12F1D543" w:rsidR="0034525F" w:rsidRDefault="0034525F" w:rsidP="0034525F">
      <w:pPr>
        <w:pStyle w:val="Heading3"/>
      </w:pPr>
      <w:r w:rsidRPr="00E37564">
        <w:t xml:space="preserve">People with untreated multiple myeloma would welcome a new </w:t>
      </w:r>
      <w:r w:rsidR="00DA1B8B">
        <w:t>first</w:t>
      </w:r>
      <w:r w:rsidR="00247960">
        <w:noBreakHyphen/>
      </w:r>
      <w:r w:rsidR="00DA1B8B">
        <w:t xml:space="preserve">line </w:t>
      </w:r>
      <w:r w:rsidRPr="00E37564">
        <w:t>treatment option</w:t>
      </w:r>
    </w:p>
    <w:p w14:paraId="2FA2228D" w14:textId="1C111D38" w:rsidR="00564684" w:rsidRDefault="00A35BCA" w:rsidP="0034525F">
      <w:pPr>
        <w:pStyle w:val="Numberedlevel2text"/>
        <w:numPr>
          <w:ilvl w:val="1"/>
          <w:numId w:val="1"/>
        </w:numPr>
        <w:rPr>
          <w:lang w:val="en-GB"/>
        </w:rPr>
      </w:pPr>
      <w:r w:rsidRPr="00A35BCA">
        <w:t xml:space="preserve">The patient experts explained that multiple myeloma is a relapsing and remitting disease </w:t>
      </w:r>
      <w:r w:rsidR="00A00198">
        <w:rPr>
          <w:lang w:val="en-GB"/>
        </w:rPr>
        <w:t>and can include</w:t>
      </w:r>
      <w:r w:rsidR="00A00198" w:rsidRPr="00A35BCA">
        <w:t xml:space="preserve"> </w:t>
      </w:r>
      <w:r w:rsidRPr="00A35BCA">
        <w:t xml:space="preserve">periods of severe symptoms. </w:t>
      </w:r>
      <w:r w:rsidR="00D315DD">
        <w:rPr>
          <w:lang w:val="en-GB"/>
        </w:rPr>
        <w:t xml:space="preserve">The first remission </w:t>
      </w:r>
      <w:r w:rsidR="007136BA">
        <w:rPr>
          <w:lang w:val="en-GB"/>
        </w:rPr>
        <w:t xml:space="preserve">is often the ‘best’ remission because it is when people with the condition are at their fittest. With each line of new therapy, a substantial proportion of people stop having treatment because they become too ill or have complications. Therefore, the most effective treatments should be given as early in the treatment pathway as possible. </w:t>
      </w:r>
      <w:r w:rsidR="00564684">
        <w:rPr>
          <w:lang w:val="en-GB"/>
        </w:rPr>
        <w:t xml:space="preserve">However, multiple myeloma does not always respond well to current induction treatments. New treatment options are needed which would </w:t>
      </w:r>
      <w:r w:rsidR="00DA1B8B">
        <w:rPr>
          <w:lang w:val="en-GB"/>
        </w:rPr>
        <w:t>improve response</w:t>
      </w:r>
      <w:r w:rsidR="00564684">
        <w:rPr>
          <w:lang w:val="en-GB"/>
        </w:rPr>
        <w:t xml:space="preserve"> and </w:t>
      </w:r>
      <w:r w:rsidR="00DA1B8B">
        <w:rPr>
          <w:lang w:val="en-GB"/>
        </w:rPr>
        <w:t xml:space="preserve">offer </w:t>
      </w:r>
      <w:r w:rsidR="00564684">
        <w:rPr>
          <w:lang w:val="en-GB"/>
        </w:rPr>
        <w:t xml:space="preserve">a longer period of remission, as well as limiting or preventing complications associated with multiple myeloma. The patient experts noted </w:t>
      </w:r>
      <w:r w:rsidR="00DA1B8B">
        <w:rPr>
          <w:lang w:val="en-GB"/>
        </w:rPr>
        <w:t>th</w:t>
      </w:r>
      <w:r w:rsidR="00B340E0">
        <w:rPr>
          <w:lang w:val="en-GB"/>
        </w:rPr>
        <w:t>at more people having</w:t>
      </w:r>
      <w:r w:rsidR="00564684">
        <w:rPr>
          <w:lang w:val="en-GB"/>
        </w:rPr>
        <w:t xml:space="preserve"> daratumumab </w:t>
      </w:r>
      <w:r w:rsidR="00564684" w:rsidRPr="00564684">
        <w:rPr>
          <w:lang w:val="en-GB"/>
        </w:rPr>
        <w:t>plus bortezomib</w:t>
      </w:r>
      <w:r w:rsidR="00BB62CD">
        <w:rPr>
          <w:lang w:val="en-GB"/>
        </w:rPr>
        <w:t xml:space="preserve">, </w:t>
      </w:r>
      <w:r w:rsidR="00564684" w:rsidRPr="00564684">
        <w:rPr>
          <w:lang w:val="en-GB"/>
        </w:rPr>
        <w:t xml:space="preserve">thalidomide </w:t>
      </w:r>
      <w:r w:rsidR="00BB62CD">
        <w:rPr>
          <w:lang w:val="en-GB"/>
        </w:rPr>
        <w:t>and</w:t>
      </w:r>
      <w:r w:rsidR="00BB62CD" w:rsidRPr="00564684">
        <w:rPr>
          <w:lang w:val="en-GB"/>
        </w:rPr>
        <w:t xml:space="preserve"> </w:t>
      </w:r>
      <w:r w:rsidR="00564684" w:rsidRPr="00564684">
        <w:rPr>
          <w:lang w:val="en-GB"/>
        </w:rPr>
        <w:t xml:space="preserve">dexamethasone </w:t>
      </w:r>
      <w:r w:rsidR="00B340E0">
        <w:rPr>
          <w:lang w:val="en-GB"/>
        </w:rPr>
        <w:t>ha</w:t>
      </w:r>
      <w:r w:rsidR="00A00198">
        <w:rPr>
          <w:lang w:val="en-GB"/>
        </w:rPr>
        <w:t>ve</w:t>
      </w:r>
      <w:r w:rsidR="00B340E0">
        <w:rPr>
          <w:lang w:val="en-GB"/>
        </w:rPr>
        <w:t xml:space="preserve"> no</w:t>
      </w:r>
      <w:r w:rsidR="00DA1B8B">
        <w:rPr>
          <w:lang w:val="en-GB"/>
        </w:rPr>
        <w:t xml:space="preserve"> minimal residual disease </w:t>
      </w:r>
      <w:r w:rsidR="00DA1B8B" w:rsidRPr="00DA1B8B">
        <w:rPr>
          <w:lang w:val="en-GB"/>
        </w:rPr>
        <w:t>(a measure of the residual tumour cells in bone marrow)</w:t>
      </w:r>
      <w:r w:rsidR="00213B76">
        <w:rPr>
          <w:lang w:val="en-GB"/>
        </w:rPr>
        <w:t xml:space="preserve"> than those having other treatments. This</w:t>
      </w:r>
      <w:r w:rsidR="00DA1B8B">
        <w:rPr>
          <w:lang w:val="en-GB"/>
        </w:rPr>
        <w:t xml:space="preserve"> signif</w:t>
      </w:r>
      <w:r w:rsidR="00213B76">
        <w:rPr>
          <w:lang w:val="en-GB"/>
        </w:rPr>
        <w:t>ie</w:t>
      </w:r>
      <w:r w:rsidR="00026E84">
        <w:rPr>
          <w:lang w:val="en-GB"/>
        </w:rPr>
        <w:t>s</w:t>
      </w:r>
      <w:r w:rsidR="00DA1B8B">
        <w:rPr>
          <w:lang w:val="en-GB"/>
        </w:rPr>
        <w:t xml:space="preserve"> a </w:t>
      </w:r>
      <w:r w:rsidR="001A6A8F">
        <w:rPr>
          <w:lang w:val="en-GB"/>
        </w:rPr>
        <w:t>‘</w:t>
      </w:r>
      <w:r w:rsidR="00DA1B8B">
        <w:rPr>
          <w:lang w:val="en-GB"/>
        </w:rPr>
        <w:t>deep</w:t>
      </w:r>
      <w:r w:rsidR="001A6A8F">
        <w:rPr>
          <w:lang w:val="en-GB"/>
        </w:rPr>
        <w:t>’</w:t>
      </w:r>
      <w:r w:rsidR="00DA1B8B">
        <w:rPr>
          <w:lang w:val="en-GB"/>
        </w:rPr>
        <w:t xml:space="preserve"> response. They also considered that daratumumab is well-tolerated. The committee concluded that people </w:t>
      </w:r>
      <w:r w:rsidR="00172BE1">
        <w:rPr>
          <w:lang w:val="en-GB"/>
        </w:rPr>
        <w:t xml:space="preserve">with untreated multiple myeloma </w:t>
      </w:r>
      <w:r w:rsidR="00DA1B8B">
        <w:rPr>
          <w:lang w:val="en-GB"/>
        </w:rPr>
        <w:t xml:space="preserve">would welcome a new treatment </w:t>
      </w:r>
      <w:r w:rsidR="00172BE1">
        <w:rPr>
          <w:lang w:val="en-GB"/>
        </w:rPr>
        <w:t xml:space="preserve">option </w:t>
      </w:r>
      <w:r w:rsidR="00DA1B8B">
        <w:rPr>
          <w:lang w:val="en-GB"/>
        </w:rPr>
        <w:t>that gives a longer period of remission and improves survival.</w:t>
      </w:r>
    </w:p>
    <w:p w14:paraId="5F1B99AA" w14:textId="77777777" w:rsidR="0034525F" w:rsidRDefault="0034525F" w:rsidP="0034525F">
      <w:pPr>
        <w:pStyle w:val="Heading2"/>
      </w:pPr>
      <w:r w:rsidRPr="00ED34CD">
        <w:t>Treatment pathway</w:t>
      </w:r>
    </w:p>
    <w:p w14:paraId="2EE3BDA6" w14:textId="766C98B6" w:rsidR="00D315DD" w:rsidRDefault="00D315DD" w:rsidP="00D315DD">
      <w:pPr>
        <w:pStyle w:val="Heading3"/>
      </w:pPr>
      <w:bookmarkStart w:id="1" w:name="_Bortezomib_plus_thalidomide"/>
      <w:bookmarkEnd w:id="1"/>
      <w:r>
        <w:t>Bortezomib</w:t>
      </w:r>
      <w:r w:rsidR="00776FE2">
        <w:t xml:space="preserve"> plus</w:t>
      </w:r>
      <w:r>
        <w:t xml:space="preserve"> thalidomide</w:t>
      </w:r>
      <w:r w:rsidR="005B33BC">
        <w:t xml:space="preserve"> and</w:t>
      </w:r>
      <w:r>
        <w:t xml:space="preserve"> dexamethasone</w:t>
      </w:r>
      <w:r w:rsidRPr="00965E48">
        <w:t xml:space="preserve"> is </w:t>
      </w:r>
      <w:r w:rsidR="00213B76">
        <w:t>a</w:t>
      </w:r>
      <w:r w:rsidRPr="00965E48">
        <w:t xml:space="preserve"> relevant comparator</w:t>
      </w:r>
      <w:r w:rsidR="005B69C7">
        <w:t>, but bortezomib plus dexamethasone should be included</w:t>
      </w:r>
    </w:p>
    <w:p w14:paraId="54EE6E4C" w14:textId="2C1CBFB9" w:rsidR="00D315DD" w:rsidRPr="00D315DD" w:rsidRDefault="005F4946" w:rsidP="00C22B75">
      <w:pPr>
        <w:pStyle w:val="Numberedlevel2text"/>
        <w:numPr>
          <w:ilvl w:val="1"/>
          <w:numId w:val="1"/>
        </w:numPr>
      </w:pPr>
      <w:r>
        <w:rPr>
          <w:lang w:val="en-GB"/>
        </w:rPr>
        <w:t xml:space="preserve">The committee was aware that </w:t>
      </w:r>
      <w:r w:rsidR="00C22B75">
        <w:rPr>
          <w:lang w:val="en-GB"/>
        </w:rPr>
        <w:t>the following comparators were included in the NICE scope: bortezomib plus dexamethasone</w:t>
      </w:r>
      <w:r w:rsidR="00C27F80">
        <w:rPr>
          <w:lang w:val="en-GB"/>
        </w:rPr>
        <w:t>,</w:t>
      </w:r>
      <w:r w:rsidR="00C22B75">
        <w:rPr>
          <w:lang w:val="en-GB"/>
        </w:rPr>
        <w:t xml:space="preserve"> or plus dexamethasone and thalidomide; bortezomib plus cyclophosphamide </w:t>
      </w:r>
      <w:r w:rsidR="005B33BC">
        <w:rPr>
          <w:lang w:val="en-GB"/>
        </w:rPr>
        <w:t xml:space="preserve">and </w:t>
      </w:r>
      <w:r w:rsidR="00C22B75">
        <w:rPr>
          <w:lang w:val="en-GB"/>
        </w:rPr>
        <w:t xml:space="preserve">dexamethasone; and cyclophosphamide plus thalidomide </w:t>
      </w:r>
      <w:r w:rsidR="005B33BC">
        <w:rPr>
          <w:lang w:val="en-GB"/>
        </w:rPr>
        <w:t xml:space="preserve">and </w:t>
      </w:r>
      <w:r w:rsidR="00C22B75">
        <w:rPr>
          <w:lang w:val="en-GB"/>
        </w:rPr>
        <w:t xml:space="preserve">dexamethasone. The committee understood that the company had only included bortezomib plus dexamethasone </w:t>
      </w:r>
      <w:r w:rsidR="005B33BC">
        <w:rPr>
          <w:lang w:val="en-GB"/>
        </w:rPr>
        <w:t xml:space="preserve">and </w:t>
      </w:r>
      <w:r w:rsidR="00C22B75">
        <w:rPr>
          <w:lang w:val="en-GB"/>
        </w:rPr>
        <w:t xml:space="preserve">thalidomide as a </w:t>
      </w:r>
      <w:r w:rsidR="00C22B75">
        <w:rPr>
          <w:lang w:val="en-GB"/>
        </w:rPr>
        <w:lastRenderedPageBreak/>
        <w:t xml:space="preserve">comparator in its economic model. </w:t>
      </w:r>
      <w:r w:rsidR="00D315DD" w:rsidRPr="00C22B75">
        <w:rPr>
          <w:lang w:val="en-GB"/>
        </w:rPr>
        <w:t xml:space="preserve">The clinical experts advised that most people with untreated multiple myeloma for whom an autologous stem cell transplant is suitable would have an induction regimen of bortezomib plus thalidomide </w:t>
      </w:r>
      <w:r w:rsidR="005B33BC">
        <w:rPr>
          <w:lang w:val="en-GB"/>
        </w:rPr>
        <w:t>and</w:t>
      </w:r>
      <w:r w:rsidR="005B33BC" w:rsidRPr="00C22B75">
        <w:rPr>
          <w:lang w:val="en-GB"/>
        </w:rPr>
        <w:t xml:space="preserve"> </w:t>
      </w:r>
      <w:r w:rsidR="00D315DD" w:rsidRPr="00C22B75">
        <w:rPr>
          <w:lang w:val="en-GB"/>
        </w:rPr>
        <w:t xml:space="preserve">dexamethasone. When thalidomide is not tolerated or </w:t>
      </w:r>
      <w:r w:rsidR="009274F6" w:rsidRPr="00C22B75">
        <w:rPr>
          <w:lang w:val="en-GB"/>
        </w:rPr>
        <w:t xml:space="preserve">is </w:t>
      </w:r>
      <w:r w:rsidR="00D315DD" w:rsidRPr="00C22B75">
        <w:rPr>
          <w:lang w:val="en-GB"/>
        </w:rPr>
        <w:t xml:space="preserve">contraindicated, bortezomib plus dexamethasone with or without cyclophosphamide can be offered. Cyclophosphamide plus thalidomide </w:t>
      </w:r>
      <w:r w:rsidR="00B0303A">
        <w:rPr>
          <w:lang w:val="en-GB"/>
        </w:rPr>
        <w:t>and</w:t>
      </w:r>
      <w:r w:rsidR="00B0303A" w:rsidRPr="00C22B75">
        <w:rPr>
          <w:lang w:val="en-GB"/>
        </w:rPr>
        <w:t xml:space="preserve"> </w:t>
      </w:r>
      <w:r w:rsidR="00D315DD" w:rsidRPr="00C22B75">
        <w:rPr>
          <w:lang w:val="en-GB"/>
        </w:rPr>
        <w:t>dexamethasone is rarely used</w:t>
      </w:r>
      <w:r w:rsidR="0027350F" w:rsidRPr="00C22B75">
        <w:rPr>
          <w:lang w:val="en-GB"/>
        </w:rPr>
        <w:t xml:space="preserve">. The clinical experts noted that bortezomib plus thalidomide </w:t>
      </w:r>
      <w:r w:rsidR="00B0303A">
        <w:rPr>
          <w:lang w:val="en-GB"/>
        </w:rPr>
        <w:t>and</w:t>
      </w:r>
      <w:r w:rsidR="00B0303A" w:rsidRPr="00C22B75">
        <w:rPr>
          <w:lang w:val="en-GB"/>
        </w:rPr>
        <w:t xml:space="preserve"> </w:t>
      </w:r>
      <w:r w:rsidR="0027350F" w:rsidRPr="00C22B75">
        <w:rPr>
          <w:lang w:val="en-GB"/>
        </w:rPr>
        <w:t xml:space="preserve">dexamethasone has comparable efficacy </w:t>
      </w:r>
      <w:r w:rsidR="00776FE2" w:rsidRPr="00C22B75">
        <w:rPr>
          <w:lang w:val="en-GB"/>
        </w:rPr>
        <w:t>to</w:t>
      </w:r>
      <w:r w:rsidR="0027350F" w:rsidRPr="00C22B75">
        <w:rPr>
          <w:lang w:val="en-GB"/>
        </w:rPr>
        <w:t xml:space="preserve"> bortezomib plus cyclophosphamide </w:t>
      </w:r>
      <w:r w:rsidR="00B0303A">
        <w:rPr>
          <w:lang w:val="en-GB"/>
        </w:rPr>
        <w:t>and</w:t>
      </w:r>
      <w:r w:rsidR="00B0303A" w:rsidRPr="00C22B75">
        <w:rPr>
          <w:lang w:val="en-GB"/>
        </w:rPr>
        <w:t xml:space="preserve"> </w:t>
      </w:r>
      <w:r w:rsidR="0027350F" w:rsidRPr="00C22B75">
        <w:rPr>
          <w:lang w:val="en-GB"/>
        </w:rPr>
        <w:t xml:space="preserve">dexamethasone. </w:t>
      </w:r>
      <w:r w:rsidR="00407366" w:rsidRPr="00C22B75">
        <w:rPr>
          <w:lang w:val="en-GB"/>
        </w:rPr>
        <w:t xml:space="preserve">They also explained that both triple regimens induce a </w:t>
      </w:r>
      <w:r w:rsidR="001A6A8F">
        <w:rPr>
          <w:lang w:val="en-GB"/>
        </w:rPr>
        <w:t>‘</w:t>
      </w:r>
      <w:r w:rsidR="00407366" w:rsidRPr="00C22B75">
        <w:rPr>
          <w:lang w:val="en-GB"/>
        </w:rPr>
        <w:t>deeper</w:t>
      </w:r>
      <w:r w:rsidR="001A6A8F">
        <w:rPr>
          <w:lang w:val="en-GB"/>
        </w:rPr>
        <w:t>’</w:t>
      </w:r>
      <w:r w:rsidR="00407366" w:rsidRPr="00C22B75">
        <w:rPr>
          <w:lang w:val="en-GB"/>
        </w:rPr>
        <w:t xml:space="preserve"> response than the double regimen of bortezomib plus dexamethasone. </w:t>
      </w:r>
      <w:r w:rsidR="00776FE2" w:rsidRPr="00C22B75">
        <w:rPr>
          <w:lang w:val="en-GB"/>
        </w:rPr>
        <w:t xml:space="preserve">The committee understood that the company had </w:t>
      </w:r>
      <w:r w:rsidR="00B63175" w:rsidRPr="00C22B75">
        <w:rPr>
          <w:lang w:val="en-GB"/>
        </w:rPr>
        <w:t xml:space="preserve">omitted </w:t>
      </w:r>
      <w:r w:rsidR="00776FE2" w:rsidRPr="00C22B75">
        <w:rPr>
          <w:lang w:val="en-GB"/>
        </w:rPr>
        <w:t xml:space="preserve">bortezomib plus cyclophosphamide </w:t>
      </w:r>
      <w:r w:rsidR="006D14A6">
        <w:rPr>
          <w:lang w:val="en-GB"/>
        </w:rPr>
        <w:t>and</w:t>
      </w:r>
      <w:r w:rsidR="006D14A6" w:rsidRPr="00C22B75">
        <w:rPr>
          <w:lang w:val="en-GB"/>
        </w:rPr>
        <w:t xml:space="preserve"> </w:t>
      </w:r>
      <w:r w:rsidR="00776FE2" w:rsidRPr="00C22B75">
        <w:rPr>
          <w:lang w:val="en-GB"/>
        </w:rPr>
        <w:t>dexamethasone as a comparator in its economic model</w:t>
      </w:r>
      <w:r w:rsidR="00C8246E" w:rsidRPr="00C22B75">
        <w:rPr>
          <w:lang w:val="en-GB"/>
        </w:rPr>
        <w:t xml:space="preserve">. This was because </w:t>
      </w:r>
      <w:r w:rsidR="00D717F1" w:rsidRPr="00C22B75">
        <w:rPr>
          <w:lang w:val="en-GB"/>
        </w:rPr>
        <w:t xml:space="preserve">the company believed that it </w:t>
      </w:r>
      <w:r w:rsidR="00C8246E" w:rsidRPr="00C22B75">
        <w:rPr>
          <w:lang w:val="en-GB"/>
        </w:rPr>
        <w:t>had</w:t>
      </w:r>
      <w:r w:rsidR="00776FE2" w:rsidRPr="00C22B75">
        <w:rPr>
          <w:lang w:val="en-GB"/>
        </w:rPr>
        <w:t xml:space="preserve"> </w:t>
      </w:r>
      <w:r w:rsidR="00C8246E" w:rsidRPr="00C22B75">
        <w:rPr>
          <w:lang w:val="en-GB"/>
        </w:rPr>
        <w:t>similar efficacy</w:t>
      </w:r>
      <w:r w:rsidR="00D62BE9" w:rsidRPr="00C22B75">
        <w:rPr>
          <w:lang w:val="en-GB"/>
        </w:rPr>
        <w:t xml:space="preserve"> and costs</w:t>
      </w:r>
      <w:r w:rsidR="00C8246E" w:rsidRPr="00C22B75">
        <w:rPr>
          <w:lang w:val="en-GB"/>
        </w:rPr>
        <w:t xml:space="preserve"> </w:t>
      </w:r>
      <w:r w:rsidR="00776FE2" w:rsidRPr="00C22B75">
        <w:rPr>
          <w:lang w:val="en-GB"/>
        </w:rPr>
        <w:t xml:space="preserve">to bortezomib plus thalidomide </w:t>
      </w:r>
      <w:r w:rsidR="006D14A6">
        <w:rPr>
          <w:lang w:val="en-GB"/>
        </w:rPr>
        <w:t>and</w:t>
      </w:r>
      <w:r w:rsidR="006D14A6" w:rsidRPr="00C22B75">
        <w:rPr>
          <w:lang w:val="en-GB"/>
        </w:rPr>
        <w:t xml:space="preserve"> </w:t>
      </w:r>
      <w:r w:rsidR="00776FE2" w:rsidRPr="00C22B75">
        <w:rPr>
          <w:lang w:val="en-GB"/>
        </w:rPr>
        <w:t xml:space="preserve">dexamethasone. </w:t>
      </w:r>
      <w:r w:rsidR="00C22B75">
        <w:rPr>
          <w:lang w:val="en-GB"/>
        </w:rPr>
        <w:t xml:space="preserve">However, </w:t>
      </w:r>
      <w:r w:rsidR="00C22B75" w:rsidRPr="00C22B75">
        <w:rPr>
          <w:lang w:val="en-GB"/>
        </w:rPr>
        <w:t xml:space="preserve">the committee considered that there was uncertainty in the company’s matching-adjusted indirect comparison (see </w:t>
      </w:r>
      <w:hyperlink w:anchor="_The_results_of" w:history="1">
        <w:r w:rsidR="00C22B75" w:rsidRPr="00184F97">
          <w:rPr>
            <w:rStyle w:val="Hyperlink"/>
            <w:lang w:val="en-GB"/>
          </w:rPr>
          <w:t xml:space="preserve">section </w:t>
        </w:r>
        <w:r w:rsidR="00184F97" w:rsidRPr="00184F97">
          <w:rPr>
            <w:rStyle w:val="Hyperlink"/>
            <w:lang w:val="en-GB"/>
          </w:rPr>
          <w:t>3.9</w:t>
        </w:r>
      </w:hyperlink>
      <w:r w:rsidR="00C22B75" w:rsidRPr="00C22B75">
        <w:rPr>
          <w:lang w:val="en-GB"/>
        </w:rPr>
        <w:t>)</w:t>
      </w:r>
      <w:r w:rsidR="00C22B75">
        <w:rPr>
          <w:lang w:val="en-GB"/>
        </w:rPr>
        <w:t xml:space="preserve">. </w:t>
      </w:r>
      <w:r w:rsidR="00C8246E" w:rsidRPr="00C22B75">
        <w:rPr>
          <w:lang w:val="en-GB"/>
        </w:rPr>
        <w:t>The company also omitted bortezomib plus dexamethasone as a comparator</w:t>
      </w:r>
      <w:r w:rsidR="00404658" w:rsidRPr="00C22B75">
        <w:rPr>
          <w:lang w:val="en-GB"/>
        </w:rPr>
        <w:t xml:space="preserve"> in its model</w:t>
      </w:r>
      <w:r w:rsidR="00C8246E" w:rsidRPr="00C22B75">
        <w:rPr>
          <w:lang w:val="en-GB"/>
        </w:rPr>
        <w:t xml:space="preserve">. This was </w:t>
      </w:r>
      <w:r w:rsidR="00DA1B8B" w:rsidRPr="00C22B75">
        <w:rPr>
          <w:lang w:val="en-GB"/>
        </w:rPr>
        <w:t>because</w:t>
      </w:r>
      <w:r w:rsidR="00C8246E" w:rsidRPr="00C22B75">
        <w:rPr>
          <w:lang w:val="en-GB"/>
        </w:rPr>
        <w:t xml:space="preserve"> </w:t>
      </w:r>
      <w:r w:rsidR="00D717F1" w:rsidRPr="00C22B75">
        <w:rPr>
          <w:lang w:val="en-GB"/>
        </w:rPr>
        <w:t xml:space="preserve">the company believed that it </w:t>
      </w:r>
      <w:r w:rsidR="00C8246E" w:rsidRPr="00C22B75">
        <w:rPr>
          <w:lang w:val="en-GB"/>
        </w:rPr>
        <w:t xml:space="preserve">had similar costs to bortezomib plus thalidomide </w:t>
      </w:r>
      <w:r w:rsidR="006D14A6">
        <w:rPr>
          <w:lang w:val="en-GB"/>
        </w:rPr>
        <w:t>and</w:t>
      </w:r>
      <w:r w:rsidR="006D14A6" w:rsidRPr="00C22B75">
        <w:rPr>
          <w:lang w:val="en-GB"/>
        </w:rPr>
        <w:t xml:space="preserve"> </w:t>
      </w:r>
      <w:r w:rsidR="00C8246E" w:rsidRPr="00C22B75">
        <w:rPr>
          <w:lang w:val="en-GB"/>
        </w:rPr>
        <w:t>dexamethasone</w:t>
      </w:r>
      <w:r w:rsidR="005B69C7" w:rsidRPr="00C22B75">
        <w:rPr>
          <w:lang w:val="en-GB"/>
        </w:rPr>
        <w:t>,</w:t>
      </w:r>
      <w:r w:rsidR="00C8246E" w:rsidRPr="00C22B75">
        <w:rPr>
          <w:lang w:val="en-GB"/>
        </w:rPr>
        <w:t xml:space="preserve"> but </w:t>
      </w:r>
      <w:r w:rsidR="009C5FC7" w:rsidRPr="00C22B75">
        <w:rPr>
          <w:lang w:val="en-GB"/>
        </w:rPr>
        <w:t>lower</w:t>
      </w:r>
      <w:r w:rsidR="00C8246E" w:rsidRPr="00C22B75">
        <w:rPr>
          <w:lang w:val="en-GB"/>
        </w:rPr>
        <w:t xml:space="preserve"> efficacy. </w:t>
      </w:r>
      <w:r w:rsidR="00C22B75">
        <w:rPr>
          <w:lang w:val="en-GB"/>
        </w:rPr>
        <w:t xml:space="preserve">However, the committee </w:t>
      </w:r>
      <w:r w:rsidR="00C8246E" w:rsidRPr="00C22B75">
        <w:rPr>
          <w:lang w:val="en-GB"/>
        </w:rPr>
        <w:t xml:space="preserve">noted that bortezomib plus dexamethasone </w:t>
      </w:r>
      <w:r w:rsidR="00DA1B8B" w:rsidRPr="00C22B75">
        <w:rPr>
          <w:lang w:val="en-GB"/>
        </w:rPr>
        <w:t>i</w:t>
      </w:r>
      <w:r w:rsidR="00C8246E" w:rsidRPr="00C22B75">
        <w:rPr>
          <w:lang w:val="en-GB"/>
        </w:rPr>
        <w:t xml:space="preserve">s cheaper than bortezomib plus thalidomide </w:t>
      </w:r>
      <w:r w:rsidR="006D14A6">
        <w:rPr>
          <w:lang w:val="en-GB"/>
        </w:rPr>
        <w:t>and</w:t>
      </w:r>
      <w:r w:rsidR="006D14A6" w:rsidRPr="00C22B75">
        <w:rPr>
          <w:lang w:val="en-GB"/>
        </w:rPr>
        <w:t xml:space="preserve"> </w:t>
      </w:r>
      <w:r w:rsidR="00C8246E" w:rsidRPr="00C22B75">
        <w:rPr>
          <w:lang w:val="en-GB"/>
        </w:rPr>
        <w:t xml:space="preserve">dexamethasone. As such, it does not necessarily follow that </w:t>
      </w:r>
      <w:r w:rsidR="006D14A6">
        <w:rPr>
          <w:lang w:val="en-GB"/>
        </w:rPr>
        <w:t>showing</w:t>
      </w:r>
      <w:r w:rsidR="006D14A6" w:rsidRPr="00C22B75">
        <w:rPr>
          <w:lang w:val="en-GB"/>
        </w:rPr>
        <w:t xml:space="preserve"> </w:t>
      </w:r>
      <w:r w:rsidR="00C8246E" w:rsidRPr="00C22B75">
        <w:rPr>
          <w:lang w:val="en-GB"/>
        </w:rPr>
        <w:t>cost</w:t>
      </w:r>
      <w:r w:rsidR="006D14A6">
        <w:rPr>
          <w:lang w:val="en-GB"/>
        </w:rPr>
        <w:t xml:space="preserve"> </w:t>
      </w:r>
      <w:r w:rsidR="00C8246E" w:rsidRPr="00C22B75">
        <w:rPr>
          <w:lang w:val="en-GB"/>
        </w:rPr>
        <w:t xml:space="preserve">effectiveness against bortezomib plus thalidomide </w:t>
      </w:r>
      <w:r w:rsidR="006D14A6">
        <w:rPr>
          <w:lang w:val="en-GB"/>
        </w:rPr>
        <w:t>and</w:t>
      </w:r>
      <w:r w:rsidR="006D14A6" w:rsidRPr="00C22B75">
        <w:rPr>
          <w:lang w:val="en-GB"/>
        </w:rPr>
        <w:t xml:space="preserve"> </w:t>
      </w:r>
      <w:r w:rsidR="00C8246E" w:rsidRPr="00C22B75">
        <w:rPr>
          <w:lang w:val="en-GB"/>
        </w:rPr>
        <w:t xml:space="preserve">dexamethasone would also </w:t>
      </w:r>
      <w:r w:rsidR="006D14A6">
        <w:rPr>
          <w:lang w:val="en-GB"/>
        </w:rPr>
        <w:t>show</w:t>
      </w:r>
      <w:r w:rsidR="006D14A6" w:rsidRPr="00C22B75">
        <w:rPr>
          <w:lang w:val="en-GB"/>
        </w:rPr>
        <w:t xml:space="preserve"> </w:t>
      </w:r>
      <w:r w:rsidR="00C8246E" w:rsidRPr="00C22B75">
        <w:rPr>
          <w:lang w:val="en-GB"/>
        </w:rPr>
        <w:t>cost</w:t>
      </w:r>
      <w:r w:rsidR="006D14A6">
        <w:rPr>
          <w:lang w:val="en-GB"/>
        </w:rPr>
        <w:t xml:space="preserve"> </w:t>
      </w:r>
      <w:r w:rsidR="00C8246E" w:rsidRPr="00C22B75">
        <w:rPr>
          <w:lang w:val="en-GB"/>
        </w:rPr>
        <w:t xml:space="preserve">effectiveness </w:t>
      </w:r>
      <w:r w:rsidR="005B69C7" w:rsidRPr="00C22B75">
        <w:rPr>
          <w:lang w:val="en-GB"/>
        </w:rPr>
        <w:t>against</w:t>
      </w:r>
      <w:r w:rsidR="00C8246E" w:rsidRPr="00C22B75">
        <w:rPr>
          <w:lang w:val="en-GB"/>
        </w:rPr>
        <w:t xml:space="preserve"> bortezomib plus dexamethasone. The committee concluded that bortezomib plus thalidomide </w:t>
      </w:r>
      <w:r w:rsidR="006D14A6">
        <w:rPr>
          <w:lang w:val="en-GB"/>
        </w:rPr>
        <w:t>and</w:t>
      </w:r>
      <w:r w:rsidR="006D14A6" w:rsidRPr="00C22B75">
        <w:rPr>
          <w:lang w:val="en-GB"/>
        </w:rPr>
        <w:t xml:space="preserve"> </w:t>
      </w:r>
      <w:r w:rsidR="00C8246E" w:rsidRPr="00C22B75">
        <w:rPr>
          <w:lang w:val="en-GB"/>
        </w:rPr>
        <w:t xml:space="preserve">dexamethasone </w:t>
      </w:r>
      <w:r w:rsidR="000960BA" w:rsidRPr="00C22B75">
        <w:rPr>
          <w:lang w:val="en-GB"/>
        </w:rPr>
        <w:t>wa</w:t>
      </w:r>
      <w:r w:rsidR="00C8246E" w:rsidRPr="00C22B75">
        <w:rPr>
          <w:lang w:val="en-GB"/>
        </w:rPr>
        <w:t xml:space="preserve">s </w:t>
      </w:r>
      <w:r w:rsidR="00D717F1" w:rsidRPr="00C22B75">
        <w:rPr>
          <w:lang w:val="en-GB"/>
        </w:rPr>
        <w:t>a</w:t>
      </w:r>
      <w:r w:rsidR="00C8246E" w:rsidRPr="00C22B75">
        <w:rPr>
          <w:lang w:val="en-GB"/>
        </w:rPr>
        <w:t xml:space="preserve"> relevant comparator, but it would have preferred bortezomib plus dexamethasone to be included </w:t>
      </w:r>
      <w:r w:rsidR="00026E84">
        <w:rPr>
          <w:lang w:val="en-GB"/>
        </w:rPr>
        <w:t xml:space="preserve">as a comparator </w:t>
      </w:r>
      <w:r w:rsidR="00C8246E" w:rsidRPr="00C22B75">
        <w:rPr>
          <w:lang w:val="en-GB"/>
        </w:rPr>
        <w:t>in the model.</w:t>
      </w:r>
    </w:p>
    <w:p w14:paraId="40E2F3E9" w14:textId="78331C61" w:rsidR="0034525F" w:rsidRDefault="0004309F" w:rsidP="0034525F">
      <w:pPr>
        <w:pStyle w:val="Heading3"/>
      </w:pPr>
      <w:r>
        <w:t>D</w:t>
      </w:r>
      <w:r w:rsidR="0034525F" w:rsidRPr="001C0DE9">
        <w:t>aratumumab</w:t>
      </w:r>
      <w:r w:rsidR="0034525F">
        <w:t xml:space="preserve"> </w:t>
      </w:r>
      <w:r>
        <w:t>consolidation treatment</w:t>
      </w:r>
      <w:r w:rsidR="0034525F" w:rsidRPr="001C0DE9">
        <w:t xml:space="preserve"> </w:t>
      </w:r>
      <w:r w:rsidR="0034525F" w:rsidRPr="00ED34CD">
        <w:t xml:space="preserve">can be incorporated into </w:t>
      </w:r>
      <w:r>
        <w:t xml:space="preserve">NHS </w:t>
      </w:r>
      <w:r w:rsidR="0034525F" w:rsidRPr="00ED34CD">
        <w:t>clinical practice</w:t>
      </w:r>
    </w:p>
    <w:p w14:paraId="650A4F33" w14:textId="0CB37ECC" w:rsidR="0004309F" w:rsidRPr="0004309F" w:rsidRDefault="005B69C7" w:rsidP="0034525F">
      <w:pPr>
        <w:pStyle w:val="Numberedlevel2text"/>
        <w:numPr>
          <w:ilvl w:val="1"/>
          <w:numId w:val="1"/>
        </w:numPr>
      </w:pPr>
      <w:r>
        <w:rPr>
          <w:lang w:val="en-GB"/>
        </w:rPr>
        <w:t xml:space="preserve">In the company’s clinical trial (see </w:t>
      </w:r>
      <w:hyperlink w:anchor="_The_addition_of" w:history="1">
        <w:r w:rsidRPr="00B63175">
          <w:rPr>
            <w:rStyle w:val="Hyperlink"/>
            <w:lang w:val="en-GB"/>
          </w:rPr>
          <w:t xml:space="preserve">section </w:t>
        </w:r>
        <w:r w:rsidR="00B63175" w:rsidRPr="00B63175">
          <w:rPr>
            <w:rStyle w:val="Hyperlink"/>
            <w:lang w:val="en-GB"/>
          </w:rPr>
          <w:t>3.5</w:t>
        </w:r>
      </w:hyperlink>
      <w:r>
        <w:rPr>
          <w:lang w:val="en-GB"/>
        </w:rPr>
        <w:t>)</w:t>
      </w:r>
      <w:r w:rsidR="006D14A6">
        <w:rPr>
          <w:lang w:val="en-GB"/>
        </w:rPr>
        <w:t>,</w:t>
      </w:r>
      <w:r w:rsidR="00095FFF">
        <w:rPr>
          <w:lang w:val="en-GB"/>
        </w:rPr>
        <w:t xml:space="preserve"> </w:t>
      </w:r>
      <w:r w:rsidR="0004309F">
        <w:rPr>
          <w:lang w:val="en-GB"/>
        </w:rPr>
        <w:t>t</w:t>
      </w:r>
      <w:r w:rsidR="0004309F" w:rsidRPr="0004309F">
        <w:rPr>
          <w:lang w:val="en-GB"/>
        </w:rPr>
        <w:t xml:space="preserve">reatment </w:t>
      </w:r>
      <w:r w:rsidR="0004309F">
        <w:rPr>
          <w:lang w:val="en-GB"/>
        </w:rPr>
        <w:t xml:space="preserve">with daratumumab </w:t>
      </w:r>
      <w:r w:rsidR="00F70BE3">
        <w:rPr>
          <w:lang w:val="en-GB"/>
        </w:rPr>
        <w:t>invo</w:t>
      </w:r>
      <w:r w:rsidR="00213B76">
        <w:rPr>
          <w:lang w:val="en-GB"/>
        </w:rPr>
        <w:t>lve</w:t>
      </w:r>
      <w:r w:rsidR="006D14A6">
        <w:rPr>
          <w:lang w:val="en-GB"/>
        </w:rPr>
        <w:t>d</w:t>
      </w:r>
      <w:r w:rsidR="00F70BE3">
        <w:rPr>
          <w:lang w:val="en-GB"/>
        </w:rPr>
        <w:t xml:space="preserve"> </w:t>
      </w:r>
      <w:r w:rsidR="0004309F" w:rsidRPr="0004309F">
        <w:rPr>
          <w:lang w:val="en-GB"/>
        </w:rPr>
        <w:t>4</w:t>
      </w:r>
      <w:r w:rsidR="006D14A6">
        <w:rPr>
          <w:lang w:val="en-GB"/>
        </w:rPr>
        <w:t> </w:t>
      </w:r>
      <w:r w:rsidR="0004309F" w:rsidRPr="0004309F">
        <w:rPr>
          <w:lang w:val="en-GB"/>
        </w:rPr>
        <w:t>cycles of induction treatment followed by high-</w:t>
      </w:r>
      <w:r w:rsidR="0004309F" w:rsidRPr="0004309F">
        <w:rPr>
          <w:lang w:val="en-GB"/>
        </w:rPr>
        <w:lastRenderedPageBreak/>
        <w:t xml:space="preserve">dose </w:t>
      </w:r>
      <w:r w:rsidR="00C27F80">
        <w:rPr>
          <w:lang w:val="en-GB"/>
        </w:rPr>
        <w:t>chemo</w:t>
      </w:r>
      <w:r w:rsidR="0004309F" w:rsidRPr="0004309F">
        <w:rPr>
          <w:lang w:val="en-GB"/>
        </w:rPr>
        <w:t xml:space="preserve">therapy, </w:t>
      </w:r>
      <w:r w:rsidR="00F70BE3">
        <w:rPr>
          <w:lang w:val="en-GB"/>
        </w:rPr>
        <w:t xml:space="preserve">followed by </w:t>
      </w:r>
      <w:r w:rsidR="005874AB">
        <w:rPr>
          <w:lang w:val="en-GB"/>
        </w:rPr>
        <w:t xml:space="preserve">an </w:t>
      </w:r>
      <w:r w:rsidR="0004309F" w:rsidRPr="0004309F">
        <w:rPr>
          <w:lang w:val="en-GB"/>
        </w:rPr>
        <w:t>autologous stem cell transplant</w:t>
      </w:r>
      <w:r w:rsidR="00213B76">
        <w:rPr>
          <w:lang w:val="en-GB"/>
        </w:rPr>
        <w:t xml:space="preserve">, </w:t>
      </w:r>
      <w:r w:rsidR="006D14A6">
        <w:rPr>
          <w:lang w:val="en-GB"/>
        </w:rPr>
        <w:t>and then</w:t>
      </w:r>
      <w:r w:rsidR="00F70BE3">
        <w:rPr>
          <w:lang w:val="en-GB"/>
        </w:rPr>
        <w:t xml:space="preserve"> </w:t>
      </w:r>
      <w:r w:rsidR="0004309F" w:rsidRPr="0004309F">
        <w:rPr>
          <w:lang w:val="en-GB"/>
        </w:rPr>
        <w:t>2</w:t>
      </w:r>
      <w:r w:rsidR="006D14A6">
        <w:rPr>
          <w:lang w:val="en-GB"/>
        </w:rPr>
        <w:t> </w:t>
      </w:r>
      <w:r w:rsidR="0004309F" w:rsidRPr="0004309F">
        <w:rPr>
          <w:lang w:val="en-GB"/>
        </w:rPr>
        <w:t xml:space="preserve">cycles of </w:t>
      </w:r>
      <w:r w:rsidR="0004309F">
        <w:rPr>
          <w:lang w:val="en-GB"/>
        </w:rPr>
        <w:t>‘</w:t>
      </w:r>
      <w:r w:rsidR="0004309F" w:rsidRPr="0004309F">
        <w:rPr>
          <w:lang w:val="en-GB"/>
        </w:rPr>
        <w:t>consolidation</w:t>
      </w:r>
      <w:r w:rsidR="0004309F">
        <w:rPr>
          <w:lang w:val="en-GB"/>
        </w:rPr>
        <w:t>’</w:t>
      </w:r>
      <w:r w:rsidR="0004309F" w:rsidRPr="0004309F">
        <w:rPr>
          <w:lang w:val="en-GB"/>
        </w:rPr>
        <w:t xml:space="preserve"> treatment</w:t>
      </w:r>
      <w:r w:rsidR="006D14A6">
        <w:rPr>
          <w:lang w:val="en-GB"/>
        </w:rPr>
        <w:t>, in line with the marketing authorisation</w:t>
      </w:r>
      <w:r w:rsidR="0004309F">
        <w:rPr>
          <w:lang w:val="en-GB"/>
        </w:rPr>
        <w:t>.</w:t>
      </w:r>
      <w:r>
        <w:rPr>
          <w:lang w:val="en-GB"/>
        </w:rPr>
        <w:t xml:space="preserve"> </w:t>
      </w:r>
      <w:r w:rsidR="0004309F">
        <w:rPr>
          <w:lang w:val="en-GB"/>
        </w:rPr>
        <w:t xml:space="preserve">Consolidation aims to improve depth of response and achieve long-term disease control, but the clinical experts explained that it </w:t>
      </w:r>
      <w:r w:rsidR="00A54B4C">
        <w:rPr>
          <w:lang w:val="en-GB"/>
        </w:rPr>
        <w:t>wa</w:t>
      </w:r>
      <w:r w:rsidR="0004309F">
        <w:rPr>
          <w:lang w:val="en-GB"/>
        </w:rPr>
        <w:t xml:space="preserve">s not standard clinical practice in the NHS. Instead, 6 </w:t>
      </w:r>
      <w:r w:rsidR="00F70BE3">
        <w:rPr>
          <w:lang w:val="en-GB"/>
        </w:rPr>
        <w:t>rather than 4</w:t>
      </w:r>
      <w:r w:rsidR="006D14A6">
        <w:rPr>
          <w:lang w:val="en-GB"/>
        </w:rPr>
        <w:t> </w:t>
      </w:r>
      <w:r w:rsidR="0004309F">
        <w:rPr>
          <w:lang w:val="en-GB"/>
        </w:rPr>
        <w:t xml:space="preserve">cycles of induction treatment </w:t>
      </w:r>
      <w:r w:rsidR="00A54B4C">
        <w:rPr>
          <w:lang w:val="en-GB"/>
        </w:rPr>
        <w:t>we</w:t>
      </w:r>
      <w:r w:rsidR="0004309F">
        <w:rPr>
          <w:lang w:val="en-GB"/>
        </w:rPr>
        <w:t xml:space="preserve">re usually offered. However, the clinical experts stated they would be keen to offer consolidation if the evidence supported it. They considered that </w:t>
      </w:r>
      <w:r w:rsidR="00F70BE3">
        <w:rPr>
          <w:lang w:val="en-GB"/>
        </w:rPr>
        <w:t xml:space="preserve">consolidation </w:t>
      </w:r>
      <w:r w:rsidR="0004309F">
        <w:rPr>
          <w:lang w:val="en-GB"/>
        </w:rPr>
        <w:t xml:space="preserve">could be incorporated into NHS clinical practice </w:t>
      </w:r>
      <w:r w:rsidR="00F70BE3">
        <w:rPr>
          <w:lang w:val="en-GB"/>
        </w:rPr>
        <w:t xml:space="preserve">and implemented </w:t>
      </w:r>
      <w:r w:rsidR="0004309F">
        <w:rPr>
          <w:lang w:val="en-GB"/>
        </w:rPr>
        <w:t>with</w:t>
      </w:r>
      <w:r w:rsidR="00F70BE3">
        <w:rPr>
          <w:lang w:val="en-GB"/>
        </w:rPr>
        <w:t xml:space="preserve"> few</w:t>
      </w:r>
      <w:r w:rsidR="000960BA">
        <w:rPr>
          <w:lang w:val="en-GB"/>
        </w:rPr>
        <w:t xml:space="preserve"> challenges. The committee concluded that consolidation treatment with daratumumab could be incorporated into </w:t>
      </w:r>
      <w:r w:rsidR="009C5FC7">
        <w:rPr>
          <w:lang w:val="en-GB"/>
        </w:rPr>
        <w:t xml:space="preserve">NHS </w:t>
      </w:r>
      <w:r w:rsidR="000960BA">
        <w:rPr>
          <w:lang w:val="en-GB"/>
        </w:rPr>
        <w:t>clinical practice.</w:t>
      </w:r>
    </w:p>
    <w:p w14:paraId="05A8CB55" w14:textId="1866AA58" w:rsidR="0034525F" w:rsidRDefault="0034525F" w:rsidP="0034525F">
      <w:pPr>
        <w:pStyle w:val="Heading3"/>
      </w:pPr>
      <w:bookmarkStart w:id="2" w:name="_Lenalidomide_maintenance_is"/>
      <w:bookmarkEnd w:id="2"/>
      <w:r>
        <w:t>Lenalidomide</w:t>
      </w:r>
      <w:r w:rsidRPr="00397870">
        <w:t xml:space="preserve"> maintenance</w:t>
      </w:r>
      <w:r w:rsidR="00BE3654">
        <w:t xml:space="preserve"> </w:t>
      </w:r>
      <w:r>
        <w:t xml:space="preserve">is </w:t>
      </w:r>
      <w:r w:rsidRPr="00397870">
        <w:t xml:space="preserve">widely used in clinical practice, and should be incorporated into </w:t>
      </w:r>
      <w:r>
        <w:t>the economic model</w:t>
      </w:r>
    </w:p>
    <w:p w14:paraId="378D1D86" w14:textId="5458548D" w:rsidR="0034525F" w:rsidRPr="00AD19C5" w:rsidRDefault="00F70BE3" w:rsidP="0034525F">
      <w:pPr>
        <w:pStyle w:val="Numberedlevel2text"/>
        <w:numPr>
          <w:ilvl w:val="1"/>
          <w:numId w:val="1"/>
        </w:numPr>
      </w:pPr>
      <w:r>
        <w:rPr>
          <w:lang w:val="en-GB"/>
        </w:rPr>
        <w:t>The company did not include m</w:t>
      </w:r>
      <w:r w:rsidR="0034525F">
        <w:rPr>
          <w:lang w:val="en-GB"/>
        </w:rPr>
        <w:t xml:space="preserve">aintenance treatment with lenalidomide </w:t>
      </w:r>
      <w:r w:rsidR="006D14A6">
        <w:rPr>
          <w:lang w:val="en-GB"/>
        </w:rPr>
        <w:t xml:space="preserve">after </w:t>
      </w:r>
      <w:r w:rsidR="005874AB">
        <w:rPr>
          <w:lang w:val="en-GB"/>
        </w:rPr>
        <w:t xml:space="preserve">an </w:t>
      </w:r>
      <w:r w:rsidR="0034525F">
        <w:rPr>
          <w:lang w:val="en-GB"/>
        </w:rPr>
        <w:t xml:space="preserve">autologous stem cell transplantation in </w:t>
      </w:r>
      <w:r>
        <w:rPr>
          <w:lang w:val="en-GB"/>
        </w:rPr>
        <w:t>its</w:t>
      </w:r>
      <w:r w:rsidR="0034525F">
        <w:rPr>
          <w:lang w:val="en-GB"/>
        </w:rPr>
        <w:t xml:space="preserve"> economic model</w:t>
      </w:r>
      <w:r w:rsidR="00AB354C">
        <w:rPr>
          <w:lang w:val="en-GB"/>
        </w:rPr>
        <w:t xml:space="preserve"> as a subsequent treatment</w:t>
      </w:r>
      <w:r w:rsidR="0034525F">
        <w:rPr>
          <w:lang w:val="en-GB"/>
        </w:rPr>
        <w:t xml:space="preserve">. </w:t>
      </w:r>
      <w:r w:rsidR="000960BA">
        <w:rPr>
          <w:lang w:val="en-GB"/>
        </w:rPr>
        <w:t xml:space="preserve">This was because </w:t>
      </w:r>
      <w:r w:rsidR="00BE3654">
        <w:rPr>
          <w:lang w:val="en-GB"/>
        </w:rPr>
        <w:t xml:space="preserve">at the time of the company submission, </w:t>
      </w:r>
      <w:r>
        <w:rPr>
          <w:lang w:val="en-GB"/>
        </w:rPr>
        <w:t xml:space="preserve">NICE was still appraising </w:t>
      </w:r>
      <w:r w:rsidR="00BE3654">
        <w:rPr>
          <w:lang w:val="en-GB"/>
        </w:rPr>
        <w:t xml:space="preserve">lenalidomide maintenance and </w:t>
      </w:r>
      <w:r>
        <w:rPr>
          <w:lang w:val="en-GB"/>
        </w:rPr>
        <w:t xml:space="preserve">it </w:t>
      </w:r>
      <w:r w:rsidR="00BE3654">
        <w:rPr>
          <w:lang w:val="en-GB"/>
        </w:rPr>
        <w:t xml:space="preserve">was not standard clinical practice. </w:t>
      </w:r>
      <w:r w:rsidR="009C5FC7">
        <w:rPr>
          <w:lang w:val="en-GB"/>
        </w:rPr>
        <w:t xml:space="preserve">However, </w:t>
      </w:r>
      <w:r w:rsidR="006D14A6">
        <w:rPr>
          <w:lang w:val="en-GB"/>
        </w:rPr>
        <w:t xml:space="preserve">after </w:t>
      </w:r>
      <w:hyperlink r:id="rId13" w:history="1">
        <w:r w:rsidR="009C5FC7" w:rsidRPr="00080203">
          <w:rPr>
            <w:rStyle w:val="Hyperlink"/>
            <w:lang w:val="en-GB"/>
          </w:rPr>
          <w:t>NICE’s technology appraisal guidance on lenalidomide maintenance treatment after an autologous stem cell transplant for newly diagnosed multiple myeloma</w:t>
        </w:r>
      </w:hyperlink>
      <w:r w:rsidR="009C5FC7">
        <w:rPr>
          <w:lang w:val="en-GB"/>
        </w:rPr>
        <w:t>,</w:t>
      </w:r>
      <w:r w:rsidR="009C5FC7" w:rsidRPr="009C5FC7">
        <w:rPr>
          <w:lang w:val="en-GB"/>
        </w:rPr>
        <w:t xml:space="preserve"> </w:t>
      </w:r>
      <w:r w:rsidR="009C5FC7">
        <w:rPr>
          <w:lang w:val="en-GB"/>
        </w:rPr>
        <w:t>t</w:t>
      </w:r>
      <w:r w:rsidR="0034525F">
        <w:rPr>
          <w:lang w:val="en-GB"/>
        </w:rPr>
        <w:t xml:space="preserve">he clinical experts explained that lenalidomide </w:t>
      </w:r>
      <w:r w:rsidR="009C5FC7">
        <w:rPr>
          <w:lang w:val="en-GB"/>
        </w:rPr>
        <w:t>maint</w:t>
      </w:r>
      <w:r w:rsidR="00080203">
        <w:rPr>
          <w:lang w:val="en-GB"/>
        </w:rPr>
        <w:t>enance wa</w:t>
      </w:r>
      <w:r w:rsidR="0034525F">
        <w:rPr>
          <w:lang w:val="en-GB"/>
        </w:rPr>
        <w:t xml:space="preserve">s </w:t>
      </w:r>
      <w:r w:rsidR="00080203">
        <w:rPr>
          <w:lang w:val="en-GB"/>
        </w:rPr>
        <w:t xml:space="preserve">now </w:t>
      </w:r>
      <w:r w:rsidR="0034525F">
        <w:rPr>
          <w:lang w:val="en-GB"/>
        </w:rPr>
        <w:t xml:space="preserve">widely used in clinical practice and </w:t>
      </w:r>
      <w:r w:rsidR="00080203">
        <w:rPr>
          <w:lang w:val="en-GB"/>
        </w:rPr>
        <w:t>this was</w:t>
      </w:r>
      <w:r w:rsidR="0034525F">
        <w:rPr>
          <w:lang w:val="en-GB"/>
        </w:rPr>
        <w:t xml:space="preserve"> likely to increase in future. The </w:t>
      </w:r>
      <w:r w:rsidR="00080203" w:rsidRPr="00080203">
        <w:rPr>
          <w:lang w:val="en-GB"/>
        </w:rPr>
        <w:t>clinical lead for the Cancer Drugs Fund</w:t>
      </w:r>
      <w:r w:rsidR="0034525F">
        <w:rPr>
          <w:lang w:val="en-GB"/>
        </w:rPr>
        <w:t xml:space="preserve"> </w:t>
      </w:r>
      <w:r w:rsidR="00080203">
        <w:rPr>
          <w:lang w:val="en-GB"/>
        </w:rPr>
        <w:t>state</w:t>
      </w:r>
      <w:r w:rsidR="0034525F">
        <w:rPr>
          <w:lang w:val="en-GB"/>
        </w:rPr>
        <w:t>d that adding daratumumab to induction</w:t>
      </w:r>
      <w:r w:rsidR="00B63175">
        <w:rPr>
          <w:lang w:val="en-GB"/>
        </w:rPr>
        <w:t xml:space="preserve"> (and consolidation)</w:t>
      </w:r>
      <w:r w:rsidR="0034525F">
        <w:rPr>
          <w:lang w:val="en-GB"/>
        </w:rPr>
        <w:t xml:space="preserve"> t</w:t>
      </w:r>
      <w:r w:rsidR="009274F6">
        <w:rPr>
          <w:lang w:val="en-GB"/>
        </w:rPr>
        <w:t>reatment</w:t>
      </w:r>
      <w:r w:rsidR="0034525F">
        <w:rPr>
          <w:lang w:val="en-GB"/>
        </w:rPr>
        <w:t xml:space="preserve"> would likely increase the duration of lenalidomide maintenance. </w:t>
      </w:r>
      <w:r w:rsidR="00080203">
        <w:rPr>
          <w:lang w:val="en-GB"/>
        </w:rPr>
        <w:t xml:space="preserve">The </w:t>
      </w:r>
      <w:r w:rsidR="006D14A6">
        <w:rPr>
          <w:lang w:val="en-GB"/>
        </w:rPr>
        <w:t xml:space="preserve">effect </w:t>
      </w:r>
      <w:r w:rsidR="00080203">
        <w:rPr>
          <w:lang w:val="en-GB"/>
        </w:rPr>
        <w:t xml:space="preserve">of </w:t>
      </w:r>
      <w:r w:rsidR="00404658">
        <w:rPr>
          <w:lang w:val="en-GB"/>
        </w:rPr>
        <w:t xml:space="preserve">including </w:t>
      </w:r>
      <w:r w:rsidR="00080203">
        <w:rPr>
          <w:lang w:val="en-GB"/>
        </w:rPr>
        <w:t>lenalidomide maintenance on the cost</w:t>
      </w:r>
      <w:r w:rsidR="006D14A6">
        <w:rPr>
          <w:lang w:val="en-GB"/>
        </w:rPr>
        <w:t xml:space="preserve"> </w:t>
      </w:r>
      <w:r w:rsidR="00080203">
        <w:rPr>
          <w:lang w:val="en-GB"/>
        </w:rPr>
        <w:t>effectiveness of daratumumab plus b</w:t>
      </w:r>
      <w:r w:rsidR="00080203" w:rsidRPr="00080203">
        <w:rPr>
          <w:lang w:val="en-GB"/>
        </w:rPr>
        <w:t>ortezomib</w:t>
      </w:r>
      <w:r w:rsidR="006D14A6">
        <w:rPr>
          <w:lang w:val="en-GB"/>
        </w:rPr>
        <w:t xml:space="preserve">, </w:t>
      </w:r>
      <w:r w:rsidR="00080203" w:rsidRPr="00080203">
        <w:rPr>
          <w:lang w:val="en-GB"/>
        </w:rPr>
        <w:t xml:space="preserve">thalidomide </w:t>
      </w:r>
      <w:r w:rsidR="006D14A6">
        <w:rPr>
          <w:lang w:val="en-GB"/>
        </w:rPr>
        <w:t>and</w:t>
      </w:r>
      <w:r w:rsidR="006D14A6" w:rsidRPr="00080203">
        <w:rPr>
          <w:lang w:val="en-GB"/>
        </w:rPr>
        <w:t xml:space="preserve"> </w:t>
      </w:r>
      <w:r w:rsidR="00080203" w:rsidRPr="00080203">
        <w:rPr>
          <w:lang w:val="en-GB"/>
        </w:rPr>
        <w:t xml:space="preserve">dexamethasone </w:t>
      </w:r>
      <w:r w:rsidR="00080203">
        <w:rPr>
          <w:lang w:val="en-GB"/>
        </w:rPr>
        <w:t xml:space="preserve">was therefore unclear. </w:t>
      </w:r>
      <w:r w:rsidR="0034525F">
        <w:rPr>
          <w:lang w:val="en-GB"/>
        </w:rPr>
        <w:t xml:space="preserve">The committee concluded that a scenario analysis incorporating lenalidomide maintenance </w:t>
      </w:r>
      <w:r w:rsidR="00AB354C">
        <w:rPr>
          <w:lang w:val="en-GB"/>
        </w:rPr>
        <w:t xml:space="preserve">as a subsequent </w:t>
      </w:r>
      <w:r w:rsidR="0034525F">
        <w:rPr>
          <w:lang w:val="en-GB"/>
        </w:rPr>
        <w:t xml:space="preserve">treatment should be </w:t>
      </w:r>
      <w:r w:rsidR="00080203">
        <w:rPr>
          <w:lang w:val="en-GB"/>
        </w:rPr>
        <w:t>provided to represent current NHS clinical practice</w:t>
      </w:r>
      <w:r w:rsidR="0034525F">
        <w:rPr>
          <w:lang w:val="en-GB"/>
        </w:rPr>
        <w:t>.</w:t>
      </w:r>
    </w:p>
    <w:p w14:paraId="3BB26683" w14:textId="77777777" w:rsidR="0034525F" w:rsidRDefault="0034525F" w:rsidP="0034525F">
      <w:pPr>
        <w:pStyle w:val="Heading2"/>
      </w:pPr>
      <w:r w:rsidRPr="007F4B29">
        <w:lastRenderedPageBreak/>
        <w:t>Clinical evidence</w:t>
      </w:r>
    </w:p>
    <w:p w14:paraId="46137858" w14:textId="0648DCB7" w:rsidR="0034525F" w:rsidRDefault="00B63175" w:rsidP="0034525F">
      <w:pPr>
        <w:pStyle w:val="Heading3"/>
      </w:pPr>
      <w:bookmarkStart w:id="3" w:name="_The_addition_of"/>
      <w:bookmarkStart w:id="4" w:name="_Adding_daratumumab_to"/>
      <w:bookmarkEnd w:id="3"/>
      <w:bookmarkEnd w:id="4"/>
      <w:r>
        <w:t>Adding</w:t>
      </w:r>
      <w:r w:rsidR="0034525F">
        <w:t xml:space="preserve"> daratumumab to bortezomib</w:t>
      </w:r>
      <w:r w:rsidR="009274F6">
        <w:t xml:space="preserve"> plus</w:t>
      </w:r>
      <w:r w:rsidR="0034525F">
        <w:t xml:space="preserve"> thalidomide</w:t>
      </w:r>
      <w:r w:rsidR="009274F6">
        <w:t xml:space="preserve"> </w:t>
      </w:r>
      <w:r w:rsidR="006D14A6">
        <w:t xml:space="preserve">and </w:t>
      </w:r>
      <w:r w:rsidR="0034525F">
        <w:t>dexamethasone</w:t>
      </w:r>
      <w:r w:rsidR="0034525F" w:rsidRPr="00662107">
        <w:t xml:space="preserve"> improves </w:t>
      </w:r>
      <w:r w:rsidR="009274F6">
        <w:t xml:space="preserve">progression-free and overall </w:t>
      </w:r>
      <w:r w:rsidR="0034525F" w:rsidRPr="00662107">
        <w:t>survival</w:t>
      </w:r>
    </w:p>
    <w:p w14:paraId="73FCB01E" w14:textId="1E8DE81F" w:rsidR="0034525F" w:rsidRPr="00662107" w:rsidRDefault="0034525F" w:rsidP="00287413">
      <w:pPr>
        <w:pStyle w:val="Numberedlevel2text"/>
        <w:numPr>
          <w:ilvl w:val="1"/>
          <w:numId w:val="1"/>
        </w:numPr>
      </w:pPr>
      <w:r w:rsidRPr="0033717E">
        <w:rPr>
          <w:lang w:val="en-GB"/>
        </w:rPr>
        <w:t xml:space="preserve">The main clinical evidence for </w:t>
      </w:r>
      <w:r>
        <w:rPr>
          <w:lang w:val="en-GB"/>
        </w:rPr>
        <w:t xml:space="preserve">daratumumab </w:t>
      </w:r>
      <w:r w:rsidR="00080203" w:rsidRPr="00080203">
        <w:rPr>
          <w:lang w:val="en-GB"/>
        </w:rPr>
        <w:t>plus bortezomib</w:t>
      </w:r>
      <w:r w:rsidR="006D14A6">
        <w:rPr>
          <w:lang w:val="en-GB"/>
        </w:rPr>
        <w:t xml:space="preserve">, </w:t>
      </w:r>
      <w:r w:rsidR="00080203" w:rsidRPr="00080203">
        <w:rPr>
          <w:lang w:val="en-GB"/>
        </w:rPr>
        <w:t xml:space="preserve">thalidomide </w:t>
      </w:r>
      <w:r w:rsidR="006D14A6">
        <w:rPr>
          <w:lang w:val="en-GB"/>
        </w:rPr>
        <w:t>and</w:t>
      </w:r>
      <w:r w:rsidR="006D14A6" w:rsidRPr="00080203">
        <w:rPr>
          <w:lang w:val="en-GB"/>
        </w:rPr>
        <w:t xml:space="preserve"> </w:t>
      </w:r>
      <w:r w:rsidR="00080203" w:rsidRPr="00080203">
        <w:rPr>
          <w:lang w:val="en-GB"/>
        </w:rPr>
        <w:t xml:space="preserve">dexamethasone </w:t>
      </w:r>
      <w:r w:rsidRPr="0033717E">
        <w:rPr>
          <w:lang w:val="en-GB"/>
        </w:rPr>
        <w:t xml:space="preserve">for untreated multiple myeloma when </w:t>
      </w:r>
      <w:r w:rsidR="005874AB">
        <w:rPr>
          <w:lang w:val="en-GB"/>
        </w:rPr>
        <w:t xml:space="preserve">a </w:t>
      </w:r>
      <w:r w:rsidRPr="0033717E">
        <w:rPr>
          <w:lang w:val="en-GB"/>
        </w:rPr>
        <w:t>stem cell transplant is suitable</w:t>
      </w:r>
      <w:r>
        <w:rPr>
          <w:lang w:val="en-GB"/>
        </w:rPr>
        <w:t xml:space="preserve"> </w:t>
      </w:r>
      <w:r w:rsidRPr="0033717E">
        <w:rPr>
          <w:lang w:val="en-GB"/>
        </w:rPr>
        <w:t xml:space="preserve">came from </w:t>
      </w:r>
      <w:r>
        <w:rPr>
          <w:lang w:val="en-GB"/>
        </w:rPr>
        <w:t xml:space="preserve">the </w:t>
      </w:r>
      <w:r w:rsidRPr="0033717E">
        <w:rPr>
          <w:lang w:val="en-GB"/>
        </w:rPr>
        <w:t>CASSIOPEIA trial</w:t>
      </w:r>
      <w:r w:rsidR="00444B2C">
        <w:rPr>
          <w:lang w:val="en-GB"/>
        </w:rPr>
        <w:t>. This was</w:t>
      </w:r>
      <w:r w:rsidRPr="0033717E">
        <w:rPr>
          <w:lang w:val="en-GB"/>
        </w:rPr>
        <w:t xml:space="preserve"> a phase</w:t>
      </w:r>
      <w:r w:rsidR="006D14A6">
        <w:rPr>
          <w:lang w:val="en-GB"/>
        </w:rPr>
        <w:t> </w:t>
      </w:r>
      <w:r w:rsidRPr="0033717E">
        <w:rPr>
          <w:lang w:val="en-GB"/>
        </w:rPr>
        <w:t>3</w:t>
      </w:r>
      <w:r w:rsidR="006D14A6">
        <w:rPr>
          <w:lang w:val="en-GB"/>
        </w:rPr>
        <w:t>,</w:t>
      </w:r>
      <w:r w:rsidRPr="0033717E">
        <w:rPr>
          <w:lang w:val="en-GB"/>
        </w:rPr>
        <w:t xml:space="preserve"> open-label</w:t>
      </w:r>
      <w:r w:rsidR="006D14A6">
        <w:rPr>
          <w:lang w:val="en-GB"/>
        </w:rPr>
        <w:t>,</w:t>
      </w:r>
      <w:r w:rsidRPr="0033717E">
        <w:rPr>
          <w:lang w:val="en-GB"/>
        </w:rPr>
        <w:t xml:space="preserve"> randomised trial</w:t>
      </w:r>
      <w:r>
        <w:rPr>
          <w:lang w:val="en-GB"/>
        </w:rPr>
        <w:t xml:space="preserve"> based in </w:t>
      </w:r>
      <w:r w:rsidRPr="0033717E">
        <w:rPr>
          <w:lang w:val="en-GB"/>
        </w:rPr>
        <w:t>111</w:t>
      </w:r>
      <w:r w:rsidR="006D14A6">
        <w:rPr>
          <w:lang w:val="en-GB"/>
        </w:rPr>
        <w:t> </w:t>
      </w:r>
      <w:r w:rsidRPr="0033717E">
        <w:rPr>
          <w:lang w:val="en-GB"/>
        </w:rPr>
        <w:t>European sites</w:t>
      </w:r>
      <w:r>
        <w:rPr>
          <w:lang w:val="en-GB"/>
        </w:rPr>
        <w:t>. A total of 1</w:t>
      </w:r>
      <w:r w:rsidR="00080203">
        <w:rPr>
          <w:lang w:val="en-GB"/>
        </w:rPr>
        <w:t>,</w:t>
      </w:r>
      <w:r>
        <w:rPr>
          <w:lang w:val="en-GB"/>
        </w:rPr>
        <w:t>085</w:t>
      </w:r>
      <w:r w:rsidR="006D14A6">
        <w:rPr>
          <w:lang w:val="en-GB"/>
        </w:rPr>
        <w:t> </w:t>
      </w:r>
      <w:r>
        <w:rPr>
          <w:lang w:val="en-GB"/>
        </w:rPr>
        <w:t>a</w:t>
      </w:r>
      <w:r w:rsidRPr="0033717E">
        <w:rPr>
          <w:lang w:val="en-GB"/>
        </w:rPr>
        <w:t xml:space="preserve">dults aged </w:t>
      </w:r>
      <w:r w:rsidR="00444B2C">
        <w:rPr>
          <w:lang w:val="en-GB"/>
        </w:rPr>
        <w:t>up</w:t>
      </w:r>
      <w:r w:rsidRPr="0033717E">
        <w:rPr>
          <w:lang w:val="en-GB"/>
        </w:rPr>
        <w:t xml:space="preserve"> to</w:t>
      </w:r>
      <w:r w:rsidR="006D14A6">
        <w:rPr>
          <w:lang w:val="en-GB"/>
        </w:rPr>
        <w:t> </w:t>
      </w:r>
      <w:r w:rsidRPr="0033717E">
        <w:rPr>
          <w:lang w:val="en-GB"/>
        </w:rPr>
        <w:t xml:space="preserve">65 with untreated multiple myeloma eligible for </w:t>
      </w:r>
      <w:r w:rsidR="005874AB">
        <w:rPr>
          <w:lang w:val="en-GB"/>
        </w:rPr>
        <w:t xml:space="preserve">an </w:t>
      </w:r>
      <w:r w:rsidR="00080203">
        <w:rPr>
          <w:lang w:val="en-GB"/>
        </w:rPr>
        <w:t>autologous stem cell transplant</w:t>
      </w:r>
      <w:r>
        <w:rPr>
          <w:lang w:val="en-GB"/>
        </w:rPr>
        <w:t xml:space="preserve"> were randomised 1:1 to either </w:t>
      </w:r>
      <w:r w:rsidR="00080203" w:rsidRPr="00080203">
        <w:rPr>
          <w:lang w:val="en-GB"/>
        </w:rPr>
        <w:t>daratumumab plus bortezomib</w:t>
      </w:r>
      <w:r w:rsidR="006D14A6">
        <w:rPr>
          <w:lang w:val="en-GB"/>
        </w:rPr>
        <w:t xml:space="preserve">, </w:t>
      </w:r>
      <w:r w:rsidR="00080203" w:rsidRPr="00080203">
        <w:rPr>
          <w:lang w:val="en-GB"/>
        </w:rPr>
        <w:t xml:space="preserve">thalidomide </w:t>
      </w:r>
      <w:r w:rsidR="006D14A6">
        <w:rPr>
          <w:lang w:val="en-GB"/>
        </w:rPr>
        <w:t>and</w:t>
      </w:r>
      <w:r w:rsidR="006D14A6" w:rsidRPr="00080203">
        <w:rPr>
          <w:lang w:val="en-GB"/>
        </w:rPr>
        <w:t xml:space="preserve"> </w:t>
      </w:r>
      <w:r w:rsidR="00080203" w:rsidRPr="00080203">
        <w:rPr>
          <w:lang w:val="en-GB"/>
        </w:rPr>
        <w:t>dexamethasone</w:t>
      </w:r>
      <w:r>
        <w:rPr>
          <w:lang w:val="en-GB"/>
        </w:rPr>
        <w:t xml:space="preserve"> </w:t>
      </w:r>
      <w:r w:rsidR="003D61BF">
        <w:rPr>
          <w:lang w:val="en-GB"/>
        </w:rPr>
        <w:t xml:space="preserve">(experimental arm) </w:t>
      </w:r>
      <w:r>
        <w:rPr>
          <w:lang w:val="en-GB"/>
        </w:rPr>
        <w:t xml:space="preserve">or </w:t>
      </w:r>
      <w:r w:rsidR="00080203" w:rsidRPr="00080203">
        <w:rPr>
          <w:lang w:val="en-GB"/>
        </w:rPr>
        <w:t xml:space="preserve">bortezomib plus thalidomide </w:t>
      </w:r>
      <w:r w:rsidR="006D14A6">
        <w:rPr>
          <w:lang w:val="en-GB"/>
        </w:rPr>
        <w:t>and</w:t>
      </w:r>
      <w:r w:rsidR="006D14A6" w:rsidRPr="00080203">
        <w:rPr>
          <w:lang w:val="en-GB"/>
        </w:rPr>
        <w:t xml:space="preserve"> </w:t>
      </w:r>
      <w:r w:rsidR="00080203" w:rsidRPr="00080203">
        <w:rPr>
          <w:lang w:val="en-GB"/>
        </w:rPr>
        <w:t>dexamethasone</w:t>
      </w:r>
      <w:r w:rsidR="003D61BF">
        <w:rPr>
          <w:lang w:val="en-GB"/>
        </w:rPr>
        <w:t xml:space="preserve"> (</w:t>
      </w:r>
      <w:r w:rsidR="00287413">
        <w:rPr>
          <w:lang w:val="en-GB"/>
        </w:rPr>
        <w:t>control</w:t>
      </w:r>
      <w:r w:rsidR="003D61BF">
        <w:rPr>
          <w:lang w:val="en-GB"/>
        </w:rPr>
        <w:t xml:space="preserve"> arm)</w:t>
      </w:r>
      <w:r>
        <w:rPr>
          <w:lang w:val="en-GB"/>
        </w:rPr>
        <w:t xml:space="preserve">. </w:t>
      </w:r>
      <w:r w:rsidR="00080203">
        <w:rPr>
          <w:lang w:val="en-GB"/>
        </w:rPr>
        <w:t>People</w:t>
      </w:r>
      <w:r>
        <w:rPr>
          <w:lang w:val="en-GB"/>
        </w:rPr>
        <w:t xml:space="preserve"> in both arms </w:t>
      </w:r>
      <w:r w:rsidR="00444B2C">
        <w:rPr>
          <w:lang w:val="en-GB"/>
        </w:rPr>
        <w:t>had</w:t>
      </w:r>
      <w:r>
        <w:rPr>
          <w:lang w:val="en-GB"/>
        </w:rPr>
        <w:t xml:space="preserve"> 4</w:t>
      </w:r>
      <w:r w:rsidR="006D14A6">
        <w:rPr>
          <w:lang w:val="en-GB"/>
        </w:rPr>
        <w:t> </w:t>
      </w:r>
      <w:r>
        <w:rPr>
          <w:lang w:val="en-GB"/>
        </w:rPr>
        <w:t xml:space="preserve">cycles of induction treatment with the above regimens, followed by </w:t>
      </w:r>
      <w:r w:rsidR="005874AB">
        <w:rPr>
          <w:lang w:val="en-GB"/>
        </w:rPr>
        <w:t xml:space="preserve">an </w:t>
      </w:r>
      <w:r>
        <w:rPr>
          <w:lang w:val="en-GB"/>
        </w:rPr>
        <w:t xml:space="preserve">autologous stem cell transplant </w:t>
      </w:r>
      <w:r w:rsidR="00444B2C">
        <w:rPr>
          <w:lang w:val="en-GB"/>
        </w:rPr>
        <w:t>and</w:t>
      </w:r>
      <w:r>
        <w:rPr>
          <w:lang w:val="en-GB"/>
        </w:rPr>
        <w:t xml:space="preserve"> </w:t>
      </w:r>
      <w:r w:rsidR="00080203">
        <w:rPr>
          <w:lang w:val="en-GB"/>
        </w:rPr>
        <w:t>2</w:t>
      </w:r>
      <w:r w:rsidR="006D14A6">
        <w:rPr>
          <w:lang w:val="en-GB"/>
        </w:rPr>
        <w:t> </w:t>
      </w:r>
      <w:r>
        <w:rPr>
          <w:lang w:val="en-GB"/>
        </w:rPr>
        <w:t>cycles of consolidation treatment. The primary outcome was the p</w:t>
      </w:r>
      <w:r w:rsidRPr="000330A0">
        <w:rPr>
          <w:lang w:val="en-GB"/>
        </w:rPr>
        <w:t xml:space="preserve">roportion of </w:t>
      </w:r>
      <w:r w:rsidR="00444B2C">
        <w:rPr>
          <w:lang w:val="en-GB"/>
        </w:rPr>
        <w:t xml:space="preserve">people </w:t>
      </w:r>
      <w:r w:rsidR="003D61BF">
        <w:rPr>
          <w:lang w:val="en-GB"/>
        </w:rPr>
        <w:t>having a</w:t>
      </w:r>
      <w:r w:rsidRPr="000330A0">
        <w:rPr>
          <w:lang w:val="en-GB"/>
        </w:rPr>
        <w:t xml:space="preserve"> stringent complete response </w:t>
      </w:r>
      <w:r w:rsidR="003D61BF">
        <w:rPr>
          <w:lang w:val="en-GB"/>
        </w:rPr>
        <w:t>within 100</w:t>
      </w:r>
      <w:r w:rsidR="006D14A6">
        <w:rPr>
          <w:lang w:val="en-GB"/>
        </w:rPr>
        <w:t> </w:t>
      </w:r>
      <w:r w:rsidR="003D61BF">
        <w:rPr>
          <w:lang w:val="en-GB"/>
        </w:rPr>
        <w:t xml:space="preserve">days after </w:t>
      </w:r>
      <w:r w:rsidR="005874AB">
        <w:rPr>
          <w:lang w:val="en-GB"/>
        </w:rPr>
        <w:t xml:space="preserve">an </w:t>
      </w:r>
      <w:r w:rsidR="003D61BF">
        <w:rPr>
          <w:lang w:val="en-GB"/>
        </w:rPr>
        <w:t>autologous stem cell transplant</w:t>
      </w:r>
      <w:r>
        <w:rPr>
          <w:lang w:val="en-GB"/>
        </w:rPr>
        <w:t xml:space="preserve">. </w:t>
      </w:r>
      <w:r w:rsidR="006C5DA7">
        <w:rPr>
          <w:lang w:val="en-GB"/>
        </w:rPr>
        <w:t xml:space="preserve">The committee was aware that the company chose not to </w:t>
      </w:r>
      <w:r w:rsidR="005363A2">
        <w:rPr>
          <w:lang w:val="en-GB"/>
        </w:rPr>
        <w:t>model th</w:t>
      </w:r>
      <w:r w:rsidR="00C92736">
        <w:rPr>
          <w:lang w:val="en-GB"/>
        </w:rPr>
        <w:t>is</w:t>
      </w:r>
      <w:r w:rsidR="005363A2">
        <w:rPr>
          <w:lang w:val="en-GB"/>
        </w:rPr>
        <w:t xml:space="preserve"> primary </w:t>
      </w:r>
      <w:r w:rsidR="00C92736">
        <w:rPr>
          <w:lang w:val="en-GB"/>
        </w:rPr>
        <w:t>outcome</w:t>
      </w:r>
      <w:r w:rsidR="005363A2">
        <w:rPr>
          <w:lang w:val="en-GB"/>
        </w:rPr>
        <w:t xml:space="preserve"> in its cost-effectiveness analyses</w:t>
      </w:r>
      <w:r w:rsidR="005F4946">
        <w:rPr>
          <w:lang w:val="en-GB"/>
        </w:rPr>
        <w:t xml:space="preserve"> (</w:t>
      </w:r>
      <w:r w:rsidR="00C92736">
        <w:rPr>
          <w:lang w:val="en-GB"/>
        </w:rPr>
        <w:t xml:space="preserve">see </w:t>
      </w:r>
      <w:hyperlink w:anchor="_It_is_unclear" w:history="1">
        <w:r w:rsidR="005F4946" w:rsidRPr="00C92736">
          <w:rPr>
            <w:rStyle w:val="Hyperlink"/>
            <w:lang w:val="en-GB"/>
          </w:rPr>
          <w:t xml:space="preserve">section </w:t>
        </w:r>
        <w:r w:rsidR="00C92736" w:rsidRPr="00C92736">
          <w:rPr>
            <w:rStyle w:val="Hyperlink"/>
            <w:lang w:val="en-GB"/>
          </w:rPr>
          <w:t>3.</w:t>
        </w:r>
        <w:r w:rsidR="00184F97">
          <w:rPr>
            <w:rStyle w:val="Hyperlink"/>
            <w:lang w:val="en-GB"/>
          </w:rPr>
          <w:t>10</w:t>
        </w:r>
      </w:hyperlink>
      <w:r w:rsidR="005F4946">
        <w:rPr>
          <w:lang w:val="en-GB"/>
        </w:rPr>
        <w:t>)</w:t>
      </w:r>
      <w:r w:rsidR="005363A2">
        <w:rPr>
          <w:lang w:val="en-GB"/>
        </w:rPr>
        <w:t xml:space="preserve">. </w:t>
      </w:r>
      <w:r>
        <w:rPr>
          <w:lang w:val="en-GB"/>
        </w:rPr>
        <w:t xml:space="preserve">Secondary outcomes included </w:t>
      </w:r>
      <w:r w:rsidRPr="00362A83">
        <w:rPr>
          <w:lang w:val="en-GB"/>
        </w:rPr>
        <w:t>overall survival, progression</w:t>
      </w:r>
      <w:r w:rsidR="00444B2C">
        <w:rPr>
          <w:lang w:val="en-GB"/>
        </w:rPr>
        <w:t>-</w:t>
      </w:r>
      <w:r w:rsidRPr="00362A83">
        <w:rPr>
          <w:lang w:val="en-GB"/>
        </w:rPr>
        <w:t>free survival</w:t>
      </w:r>
      <w:r w:rsidR="00696AA9">
        <w:rPr>
          <w:lang w:val="en-GB"/>
        </w:rPr>
        <w:t>,</w:t>
      </w:r>
      <w:r w:rsidRPr="00362A83">
        <w:rPr>
          <w:lang w:val="en-GB"/>
        </w:rPr>
        <w:t xml:space="preserve"> and </w:t>
      </w:r>
      <w:r w:rsidR="00C92736">
        <w:rPr>
          <w:lang w:val="en-GB"/>
        </w:rPr>
        <w:t xml:space="preserve">the rate of </w:t>
      </w:r>
      <w:r w:rsidRPr="00362A83">
        <w:rPr>
          <w:lang w:val="en-GB"/>
        </w:rPr>
        <w:t xml:space="preserve">minimal residual disease </w:t>
      </w:r>
      <w:r w:rsidR="00C92736">
        <w:rPr>
          <w:lang w:val="en-GB"/>
        </w:rPr>
        <w:t>negativity</w:t>
      </w:r>
      <w:r>
        <w:rPr>
          <w:lang w:val="en-GB"/>
        </w:rPr>
        <w:t>.</w:t>
      </w:r>
      <w:r w:rsidRPr="00362A83">
        <w:rPr>
          <w:lang w:val="en-GB"/>
        </w:rPr>
        <w:t xml:space="preserve"> </w:t>
      </w:r>
      <w:r>
        <w:rPr>
          <w:lang w:val="en-GB"/>
        </w:rPr>
        <w:t>At the primary data cut</w:t>
      </w:r>
      <w:r w:rsidR="000051B2">
        <w:rPr>
          <w:lang w:val="en-GB"/>
        </w:rPr>
        <w:t xml:space="preserve"> </w:t>
      </w:r>
      <w:r w:rsidR="00240DB1">
        <w:rPr>
          <w:lang w:val="en-GB"/>
        </w:rPr>
        <w:t xml:space="preserve">(and final analysis for the primary outcome) </w:t>
      </w:r>
      <w:r w:rsidR="000051B2">
        <w:rPr>
          <w:lang w:val="en-GB"/>
        </w:rPr>
        <w:t>after a median follow</w:t>
      </w:r>
      <w:r w:rsidR="006D14A6">
        <w:rPr>
          <w:lang w:val="en-GB"/>
        </w:rPr>
        <w:t xml:space="preserve"> </w:t>
      </w:r>
      <w:r w:rsidR="000051B2">
        <w:rPr>
          <w:lang w:val="en-GB"/>
        </w:rPr>
        <w:t>up of 18.8</w:t>
      </w:r>
      <w:r w:rsidR="006D14A6">
        <w:rPr>
          <w:lang w:val="en-GB"/>
        </w:rPr>
        <w:t> </w:t>
      </w:r>
      <w:r w:rsidR="000051B2">
        <w:rPr>
          <w:lang w:val="en-GB"/>
        </w:rPr>
        <w:t>months</w:t>
      </w:r>
      <w:r w:rsidR="00287413">
        <w:rPr>
          <w:lang w:val="en-GB"/>
        </w:rPr>
        <w:t>,</w:t>
      </w:r>
      <w:r>
        <w:rPr>
          <w:lang w:val="en-GB"/>
        </w:rPr>
        <w:t xml:space="preserve"> 28.9% of patients in the experimental arm and </w:t>
      </w:r>
      <w:r w:rsidRPr="007F020E">
        <w:rPr>
          <w:lang w:val="en-GB"/>
        </w:rPr>
        <w:t>20.3%</w:t>
      </w:r>
      <w:r>
        <w:rPr>
          <w:lang w:val="en-GB"/>
        </w:rPr>
        <w:t xml:space="preserve"> of patients in the control arm </w:t>
      </w:r>
      <w:r w:rsidR="003D61BF">
        <w:rPr>
          <w:lang w:val="en-GB"/>
        </w:rPr>
        <w:t>had</w:t>
      </w:r>
      <w:r>
        <w:rPr>
          <w:lang w:val="en-GB"/>
        </w:rPr>
        <w:t xml:space="preserve"> a stringent complete response after consolidation</w:t>
      </w:r>
      <w:r w:rsidR="003D61BF">
        <w:rPr>
          <w:lang w:val="en-GB"/>
        </w:rPr>
        <w:t xml:space="preserve"> (odds ratio [OR] </w:t>
      </w:r>
      <w:r w:rsidR="00287413">
        <w:rPr>
          <w:lang w:val="en-GB"/>
        </w:rPr>
        <w:t>1.6</w:t>
      </w:r>
      <w:r w:rsidR="00095FFF">
        <w:rPr>
          <w:lang w:val="en-GB"/>
        </w:rPr>
        <w:t>0,</w:t>
      </w:r>
      <w:r w:rsidR="00287413">
        <w:rPr>
          <w:lang w:val="en-GB"/>
        </w:rPr>
        <w:t xml:space="preserve"> 95% confidence interval [CI] 1.21 to 2.12)</w:t>
      </w:r>
      <w:r>
        <w:rPr>
          <w:lang w:val="en-GB"/>
        </w:rPr>
        <w:t xml:space="preserve">. The company also presented </w:t>
      </w:r>
      <w:r w:rsidR="00287413">
        <w:rPr>
          <w:lang w:val="en-GB"/>
        </w:rPr>
        <w:t xml:space="preserve">survival </w:t>
      </w:r>
      <w:r>
        <w:rPr>
          <w:lang w:val="en-GB"/>
        </w:rPr>
        <w:t xml:space="preserve">results from </w:t>
      </w:r>
      <w:r w:rsidR="00240DB1">
        <w:rPr>
          <w:lang w:val="en-GB"/>
        </w:rPr>
        <w:t>2</w:t>
      </w:r>
      <w:r w:rsidR="00287413">
        <w:rPr>
          <w:lang w:val="en-GB"/>
        </w:rPr>
        <w:t xml:space="preserve"> </w:t>
      </w:r>
      <w:r>
        <w:rPr>
          <w:lang w:val="en-GB"/>
        </w:rPr>
        <w:t>later data cut</w:t>
      </w:r>
      <w:r w:rsidR="00287413">
        <w:rPr>
          <w:lang w:val="en-GB"/>
        </w:rPr>
        <w:t>s</w:t>
      </w:r>
      <w:r>
        <w:rPr>
          <w:lang w:val="en-GB"/>
        </w:rPr>
        <w:t xml:space="preserve"> </w:t>
      </w:r>
      <w:r w:rsidR="00287413">
        <w:rPr>
          <w:lang w:val="en-GB"/>
        </w:rPr>
        <w:t>with a median follow</w:t>
      </w:r>
      <w:r w:rsidR="006D14A6">
        <w:rPr>
          <w:lang w:val="en-GB"/>
        </w:rPr>
        <w:t xml:space="preserve"> </w:t>
      </w:r>
      <w:r w:rsidR="00287413">
        <w:rPr>
          <w:lang w:val="en-GB"/>
        </w:rPr>
        <w:t>up of 29</w:t>
      </w:r>
      <w:r w:rsidR="00B63175">
        <w:rPr>
          <w:lang w:val="en-GB"/>
        </w:rPr>
        <w:t>.2</w:t>
      </w:r>
      <w:r w:rsidR="006D14A6">
        <w:rPr>
          <w:lang w:val="en-GB"/>
        </w:rPr>
        <w:t xml:space="preserve"> </w:t>
      </w:r>
      <w:r w:rsidR="00287413">
        <w:rPr>
          <w:lang w:val="en-GB"/>
        </w:rPr>
        <w:t>months and 44</w:t>
      </w:r>
      <w:r w:rsidR="00B63175">
        <w:rPr>
          <w:lang w:val="en-GB"/>
        </w:rPr>
        <w:t>.5</w:t>
      </w:r>
      <w:r w:rsidR="006D14A6">
        <w:rPr>
          <w:lang w:val="en-GB"/>
        </w:rPr>
        <w:t> </w:t>
      </w:r>
      <w:r w:rsidR="009716D6">
        <w:rPr>
          <w:lang w:val="en-GB"/>
        </w:rPr>
        <w:t>months, respectively</w:t>
      </w:r>
      <w:r w:rsidR="00287413">
        <w:rPr>
          <w:lang w:val="en-GB"/>
        </w:rPr>
        <w:t xml:space="preserve">. At the </w:t>
      </w:r>
      <w:r w:rsidR="00B63175">
        <w:rPr>
          <w:lang w:val="en-GB"/>
        </w:rPr>
        <w:t>earlier</w:t>
      </w:r>
      <w:r w:rsidR="00287413">
        <w:rPr>
          <w:lang w:val="en-GB"/>
        </w:rPr>
        <w:t xml:space="preserve"> </w:t>
      </w:r>
      <w:r w:rsidR="00B63175">
        <w:rPr>
          <w:lang w:val="en-GB"/>
        </w:rPr>
        <w:t xml:space="preserve">of the </w:t>
      </w:r>
      <w:r w:rsidR="00240DB1">
        <w:rPr>
          <w:lang w:val="en-GB"/>
        </w:rPr>
        <w:t>2</w:t>
      </w:r>
      <w:r w:rsidR="00287413">
        <w:rPr>
          <w:lang w:val="en-GB"/>
        </w:rPr>
        <w:t xml:space="preserve">, the </w:t>
      </w:r>
      <w:r w:rsidR="00287413" w:rsidRPr="00287413">
        <w:rPr>
          <w:lang w:val="en-GB"/>
        </w:rPr>
        <w:t>hazard ratios for progression</w:t>
      </w:r>
      <w:r w:rsidR="00287413">
        <w:rPr>
          <w:lang w:val="en-GB"/>
        </w:rPr>
        <w:t>-</w:t>
      </w:r>
      <w:r w:rsidR="00287413" w:rsidRPr="00287413">
        <w:rPr>
          <w:lang w:val="en-GB"/>
        </w:rPr>
        <w:t>free survival and overall survival were 0.50 (95% CI 0.38</w:t>
      </w:r>
      <w:r w:rsidR="00287413">
        <w:rPr>
          <w:lang w:val="en-GB"/>
        </w:rPr>
        <w:t xml:space="preserve"> to</w:t>
      </w:r>
      <w:r w:rsidR="00287413" w:rsidRPr="00287413">
        <w:rPr>
          <w:lang w:val="en-GB"/>
        </w:rPr>
        <w:t xml:space="preserve"> 0.65) and 0.52 (95% CI 0.33</w:t>
      </w:r>
      <w:r w:rsidR="00287413">
        <w:rPr>
          <w:lang w:val="en-GB"/>
        </w:rPr>
        <w:t xml:space="preserve"> to</w:t>
      </w:r>
      <w:r w:rsidR="00287413" w:rsidRPr="00287413">
        <w:rPr>
          <w:lang w:val="en-GB"/>
        </w:rPr>
        <w:t xml:space="preserve"> 0.85) respectively</w:t>
      </w:r>
      <w:r w:rsidR="006D14A6">
        <w:rPr>
          <w:lang w:val="en-GB"/>
        </w:rPr>
        <w:t>,</w:t>
      </w:r>
      <w:r w:rsidR="00287413" w:rsidRPr="00287413">
        <w:rPr>
          <w:lang w:val="en-GB"/>
        </w:rPr>
        <w:t xml:space="preserve"> favouring the experimental arm</w:t>
      </w:r>
      <w:r w:rsidR="00287413">
        <w:rPr>
          <w:lang w:val="en-GB"/>
        </w:rPr>
        <w:t xml:space="preserve">. The results of the </w:t>
      </w:r>
      <w:r w:rsidR="00B63175">
        <w:rPr>
          <w:lang w:val="en-GB"/>
        </w:rPr>
        <w:t>latest data</w:t>
      </w:r>
      <w:r w:rsidR="00287413">
        <w:rPr>
          <w:lang w:val="en-GB"/>
        </w:rPr>
        <w:t xml:space="preserve"> cut are confidential. </w:t>
      </w:r>
      <w:r w:rsidR="00F544AD" w:rsidRPr="00F544AD">
        <w:rPr>
          <w:lang w:val="en-GB"/>
        </w:rPr>
        <w:t xml:space="preserve">CASSIOPEIA </w:t>
      </w:r>
      <w:r w:rsidR="00F544AD">
        <w:rPr>
          <w:lang w:val="en-GB"/>
        </w:rPr>
        <w:t xml:space="preserve">also </w:t>
      </w:r>
      <w:r w:rsidR="00F544AD" w:rsidRPr="00F544AD">
        <w:rPr>
          <w:lang w:val="en-GB"/>
        </w:rPr>
        <w:t>ha</w:t>
      </w:r>
      <w:r w:rsidR="002F434B">
        <w:rPr>
          <w:lang w:val="en-GB"/>
        </w:rPr>
        <w:t>s</w:t>
      </w:r>
      <w:r w:rsidR="00F544AD" w:rsidRPr="00F544AD">
        <w:rPr>
          <w:lang w:val="en-GB"/>
        </w:rPr>
        <w:t xml:space="preserve"> an ongoing second part, in which people whose disease at least partially responded after consolidation </w:t>
      </w:r>
      <w:r w:rsidR="002F434B">
        <w:rPr>
          <w:lang w:val="en-GB"/>
        </w:rPr>
        <w:t>are</w:t>
      </w:r>
      <w:r w:rsidR="002F434B" w:rsidRPr="00F544AD">
        <w:rPr>
          <w:lang w:val="en-GB"/>
        </w:rPr>
        <w:t xml:space="preserve"> </w:t>
      </w:r>
      <w:r w:rsidR="00F544AD" w:rsidRPr="00F544AD">
        <w:rPr>
          <w:lang w:val="en-GB"/>
        </w:rPr>
        <w:lastRenderedPageBreak/>
        <w:t xml:space="preserve">eligible to participate. These people </w:t>
      </w:r>
      <w:r w:rsidR="002F434B">
        <w:rPr>
          <w:lang w:val="en-GB"/>
        </w:rPr>
        <w:t>are</w:t>
      </w:r>
      <w:r w:rsidR="002F434B" w:rsidRPr="00F544AD">
        <w:rPr>
          <w:lang w:val="en-GB"/>
        </w:rPr>
        <w:t xml:space="preserve"> </w:t>
      </w:r>
      <w:r w:rsidR="00F544AD" w:rsidRPr="00F544AD">
        <w:rPr>
          <w:lang w:val="en-GB"/>
        </w:rPr>
        <w:t xml:space="preserve">re-randomised to either daratumumab monotherapy maintenance treatment or observation until progression. However, daratumumab maintenance treatment is not currently included in the marketing authorisation and does not represent NHS clinical practice. </w:t>
      </w:r>
      <w:r w:rsidR="00444BDA">
        <w:rPr>
          <w:lang w:val="en-GB"/>
        </w:rPr>
        <w:t xml:space="preserve">The committee recognised that </w:t>
      </w:r>
      <w:r w:rsidR="000051B2">
        <w:rPr>
          <w:lang w:val="en-GB"/>
        </w:rPr>
        <w:t xml:space="preserve">the CASSIOPEIA </w:t>
      </w:r>
      <w:r w:rsidR="00444BDA">
        <w:rPr>
          <w:lang w:val="en-GB"/>
        </w:rPr>
        <w:t xml:space="preserve">results would </w:t>
      </w:r>
      <w:r w:rsidR="006433E0">
        <w:rPr>
          <w:lang w:val="en-GB"/>
        </w:rPr>
        <w:t xml:space="preserve">not reflect </w:t>
      </w:r>
      <w:r w:rsidR="00240DB1">
        <w:rPr>
          <w:lang w:val="en-GB"/>
        </w:rPr>
        <w:t>NHS clinical practice</w:t>
      </w:r>
      <w:r w:rsidR="00444BDA">
        <w:rPr>
          <w:lang w:val="en-GB"/>
        </w:rPr>
        <w:t xml:space="preserve">. </w:t>
      </w:r>
      <w:r w:rsidR="00F544AD">
        <w:rPr>
          <w:lang w:val="en-GB"/>
        </w:rPr>
        <w:t>The company</w:t>
      </w:r>
      <w:r w:rsidR="006433E0">
        <w:rPr>
          <w:lang w:val="en-GB"/>
        </w:rPr>
        <w:t xml:space="preserve"> </w:t>
      </w:r>
      <w:r w:rsidR="00F544AD">
        <w:rPr>
          <w:lang w:val="en-GB"/>
        </w:rPr>
        <w:t>adjusted for people switching to daratumumab maintenance using a</w:t>
      </w:r>
      <w:r w:rsidR="000B1D5D">
        <w:rPr>
          <w:lang w:val="en-GB"/>
        </w:rPr>
        <w:t xml:space="preserve"> pre-specified</w:t>
      </w:r>
      <w:r w:rsidR="00F544AD">
        <w:rPr>
          <w:lang w:val="en-GB"/>
        </w:rPr>
        <w:t xml:space="preserve"> inverse probability weighting method, which produced similar results </w:t>
      </w:r>
      <w:r w:rsidR="000B1D5D">
        <w:rPr>
          <w:lang w:val="en-GB"/>
        </w:rPr>
        <w:t xml:space="preserve">to the unadjusted analysis. </w:t>
      </w:r>
      <w:r w:rsidR="002062CD">
        <w:rPr>
          <w:lang w:val="en-GB"/>
        </w:rPr>
        <w:t xml:space="preserve">The committee was aware that the ERG was unable to validate the inverse probability weighting </w:t>
      </w:r>
      <w:r w:rsidR="00240DB1">
        <w:rPr>
          <w:lang w:val="en-GB"/>
        </w:rPr>
        <w:t>results because</w:t>
      </w:r>
      <w:r w:rsidR="002062CD">
        <w:rPr>
          <w:lang w:val="en-GB"/>
        </w:rPr>
        <w:t xml:space="preserve"> the company </w:t>
      </w:r>
      <w:r w:rsidR="0022257F">
        <w:rPr>
          <w:lang w:val="en-GB"/>
        </w:rPr>
        <w:t>could not provide</w:t>
      </w:r>
      <w:r w:rsidR="00741697" w:rsidRPr="00741697">
        <w:rPr>
          <w:lang w:val="en-GB"/>
        </w:rPr>
        <w:t xml:space="preserve"> the individual patient data from the second part of CASSIOPEIA</w:t>
      </w:r>
      <w:r w:rsidR="00741697">
        <w:rPr>
          <w:lang w:val="en-GB"/>
        </w:rPr>
        <w:t>.</w:t>
      </w:r>
      <w:r w:rsidR="00741697" w:rsidRPr="00741697">
        <w:rPr>
          <w:lang w:val="en-GB"/>
        </w:rPr>
        <w:t xml:space="preserve"> </w:t>
      </w:r>
      <w:r w:rsidR="000500D5">
        <w:rPr>
          <w:lang w:val="en-GB"/>
        </w:rPr>
        <w:t xml:space="preserve">However, </w:t>
      </w:r>
      <w:r w:rsidR="00A05068">
        <w:rPr>
          <w:lang w:val="en-GB"/>
        </w:rPr>
        <w:t>the committee</w:t>
      </w:r>
      <w:r w:rsidRPr="00287413">
        <w:rPr>
          <w:lang w:val="en-GB"/>
        </w:rPr>
        <w:t xml:space="preserve"> concluded that</w:t>
      </w:r>
      <w:r w:rsidR="00404658">
        <w:rPr>
          <w:lang w:val="en-GB"/>
        </w:rPr>
        <w:t xml:space="preserve"> adding </w:t>
      </w:r>
      <w:r w:rsidRPr="00287413">
        <w:rPr>
          <w:lang w:val="en-GB"/>
        </w:rPr>
        <w:t>daratumumab to bortezomib</w:t>
      </w:r>
      <w:r w:rsidR="00287413">
        <w:rPr>
          <w:lang w:val="en-GB"/>
        </w:rPr>
        <w:t xml:space="preserve"> plus</w:t>
      </w:r>
      <w:r w:rsidRPr="00287413">
        <w:rPr>
          <w:lang w:val="en-GB"/>
        </w:rPr>
        <w:t xml:space="preserve"> thalidomide </w:t>
      </w:r>
      <w:r w:rsidR="006814B2">
        <w:rPr>
          <w:lang w:val="en-GB"/>
        </w:rPr>
        <w:t>and</w:t>
      </w:r>
      <w:r w:rsidR="006814B2" w:rsidRPr="00287413">
        <w:rPr>
          <w:lang w:val="en-GB"/>
        </w:rPr>
        <w:t xml:space="preserve"> </w:t>
      </w:r>
      <w:r w:rsidRPr="00287413">
        <w:rPr>
          <w:lang w:val="en-GB"/>
        </w:rPr>
        <w:t xml:space="preserve">dexamethasone </w:t>
      </w:r>
      <w:r w:rsidR="009274F6">
        <w:rPr>
          <w:lang w:val="en-GB"/>
        </w:rPr>
        <w:t>improved progression-free survival and overall survival.</w:t>
      </w:r>
    </w:p>
    <w:p w14:paraId="1474077A" w14:textId="37F34E75" w:rsidR="00696AA9" w:rsidRPr="00A455EC" w:rsidRDefault="0034525F" w:rsidP="00696AA9">
      <w:pPr>
        <w:pStyle w:val="Heading3"/>
        <w:rPr>
          <w:color w:val="000000" w:themeColor="text1"/>
        </w:rPr>
      </w:pPr>
      <w:bookmarkStart w:id="5" w:name="_The_company’s_censored"/>
      <w:bookmarkEnd w:id="5"/>
      <w:r w:rsidRPr="00A455EC">
        <w:rPr>
          <w:color w:val="000000" w:themeColor="text1"/>
        </w:rPr>
        <w:t xml:space="preserve">The </w:t>
      </w:r>
      <w:r w:rsidR="00696AA9" w:rsidRPr="00A455EC">
        <w:rPr>
          <w:color w:val="000000" w:themeColor="text1"/>
        </w:rPr>
        <w:t xml:space="preserve">company’s </w:t>
      </w:r>
      <w:r w:rsidR="00A455EC" w:rsidRPr="00A455EC">
        <w:rPr>
          <w:color w:val="000000" w:themeColor="text1"/>
        </w:rPr>
        <w:t xml:space="preserve">censored </w:t>
      </w:r>
      <w:r w:rsidRPr="00A455EC">
        <w:rPr>
          <w:color w:val="000000" w:themeColor="text1"/>
        </w:rPr>
        <w:t xml:space="preserve">landmark analysis is </w:t>
      </w:r>
      <w:r w:rsidR="00A455EC" w:rsidRPr="00A455EC">
        <w:rPr>
          <w:color w:val="000000" w:themeColor="text1"/>
        </w:rPr>
        <w:t xml:space="preserve">likely </w:t>
      </w:r>
      <w:r w:rsidRPr="00A455EC">
        <w:rPr>
          <w:color w:val="000000" w:themeColor="text1"/>
        </w:rPr>
        <w:t>biased</w:t>
      </w:r>
      <w:r w:rsidR="00A455EC" w:rsidRPr="00A455EC">
        <w:rPr>
          <w:color w:val="000000" w:themeColor="text1"/>
        </w:rPr>
        <w:t>, though the direction of the bias is unclear</w:t>
      </w:r>
    </w:p>
    <w:p w14:paraId="134D9A0D" w14:textId="4E05F972" w:rsidR="00A455EC" w:rsidRPr="00BE0AAA" w:rsidRDefault="0034525F" w:rsidP="0022257F">
      <w:pPr>
        <w:pStyle w:val="Numberedlevel2text"/>
        <w:numPr>
          <w:ilvl w:val="1"/>
          <w:numId w:val="1"/>
        </w:numPr>
      </w:pPr>
      <w:r>
        <w:rPr>
          <w:lang w:val="en-GB"/>
        </w:rPr>
        <w:t xml:space="preserve">The company presented an exploratory </w:t>
      </w:r>
      <w:r w:rsidRPr="00E37306">
        <w:rPr>
          <w:lang w:val="en-GB"/>
        </w:rPr>
        <w:t xml:space="preserve">landmark analysis to explore the </w:t>
      </w:r>
      <w:r w:rsidR="009274F6">
        <w:rPr>
          <w:lang w:val="en-GB"/>
        </w:rPr>
        <w:t>relationship</w:t>
      </w:r>
      <w:r w:rsidRPr="00E37306">
        <w:rPr>
          <w:lang w:val="en-GB"/>
        </w:rPr>
        <w:t xml:space="preserve"> </w:t>
      </w:r>
      <w:r w:rsidR="009274F6">
        <w:rPr>
          <w:lang w:val="en-GB"/>
        </w:rPr>
        <w:t xml:space="preserve">between </w:t>
      </w:r>
      <w:r w:rsidRPr="00362A83">
        <w:rPr>
          <w:lang w:val="en-GB"/>
        </w:rPr>
        <w:t xml:space="preserve">minimal residual disease </w:t>
      </w:r>
      <w:r w:rsidRPr="00E37306">
        <w:rPr>
          <w:lang w:val="en-GB"/>
        </w:rPr>
        <w:t>status</w:t>
      </w:r>
      <w:r w:rsidR="009274F6">
        <w:rPr>
          <w:lang w:val="en-GB"/>
        </w:rPr>
        <w:t xml:space="preserve"> and survival</w:t>
      </w:r>
      <w:r w:rsidR="00741697">
        <w:rPr>
          <w:lang w:val="en-GB"/>
        </w:rPr>
        <w:t xml:space="preserve">. </w:t>
      </w:r>
      <w:r w:rsidR="004324C2">
        <w:rPr>
          <w:lang w:val="en-GB"/>
        </w:rPr>
        <w:t>Minimal residual disease negativity in the bone marrow was assessed at 2 timepoints in CASSIOPEIA. The first was after the completion of induction therapy, and the second was after the completion of consolidation therapy (around 100</w:t>
      </w:r>
      <w:r w:rsidR="006814B2">
        <w:rPr>
          <w:lang w:val="en-GB"/>
        </w:rPr>
        <w:t> </w:t>
      </w:r>
      <w:r w:rsidR="004324C2">
        <w:rPr>
          <w:lang w:val="en-GB"/>
        </w:rPr>
        <w:t xml:space="preserve">days after </w:t>
      </w:r>
      <w:r w:rsidR="005874AB">
        <w:rPr>
          <w:lang w:val="en-GB"/>
        </w:rPr>
        <w:t xml:space="preserve">an </w:t>
      </w:r>
      <w:r w:rsidR="004324C2">
        <w:rPr>
          <w:lang w:val="en-GB"/>
        </w:rPr>
        <w:t xml:space="preserve">autologous stem cell transplant). </w:t>
      </w:r>
      <w:r w:rsidR="00741697" w:rsidRPr="00741697">
        <w:rPr>
          <w:lang w:val="en-GB"/>
        </w:rPr>
        <w:t>The company used only the data from people alive at the post-consolidation assessment</w:t>
      </w:r>
      <w:r w:rsidR="0022257F">
        <w:rPr>
          <w:lang w:val="en-GB"/>
        </w:rPr>
        <w:t xml:space="preserve"> </w:t>
      </w:r>
      <w:r w:rsidR="00741697" w:rsidRPr="00741697">
        <w:rPr>
          <w:lang w:val="en-GB"/>
        </w:rPr>
        <w:t>(the ‘landmark’ timepoint</w:t>
      </w:r>
      <w:r w:rsidR="0022257F">
        <w:rPr>
          <w:lang w:val="en-GB"/>
        </w:rPr>
        <w:t>)</w:t>
      </w:r>
      <w:r w:rsidR="00741697" w:rsidRPr="00741697">
        <w:rPr>
          <w:lang w:val="en-GB"/>
        </w:rPr>
        <w:t>.</w:t>
      </w:r>
      <w:r w:rsidR="00741697">
        <w:rPr>
          <w:lang w:val="en-GB"/>
        </w:rPr>
        <w:t xml:space="preserve"> </w:t>
      </w:r>
      <w:r w:rsidR="00741697" w:rsidRPr="00741697">
        <w:rPr>
          <w:lang w:val="en-GB"/>
        </w:rPr>
        <w:t>It split these people by their minimal residual disease status (negative or positive)</w:t>
      </w:r>
      <w:r w:rsidR="0022257F">
        <w:rPr>
          <w:lang w:val="en-GB"/>
        </w:rPr>
        <w:t xml:space="preserve">, and </w:t>
      </w:r>
      <w:r w:rsidR="00741697" w:rsidRPr="00741697">
        <w:rPr>
          <w:lang w:val="en-GB"/>
        </w:rPr>
        <w:t>calculated hazard ratios for progression-free survival and overall survival for people having daratumumab plus bortezomib</w:t>
      </w:r>
      <w:r w:rsidR="006814B2">
        <w:rPr>
          <w:lang w:val="en-GB"/>
        </w:rPr>
        <w:t xml:space="preserve">, </w:t>
      </w:r>
      <w:r w:rsidR="00741697" w:rsidRPr="00741697">
        <w:rPr>
          <w:lang w:val="en-GB"/>
        </w:rPr>
        <w:t xml:space="preserve">thalidomide </w:t>
      </w:r>
      <w:r w:rsidR="006814B2">
        <w:rPr>
          <w:lang w:val="en-GB"/>
        </w:rPr>
        <w:t>and</w:t>
      </w:r>
      <w:r w:rsidR="006814B2" w:rsidRPr="00741697">
        <w:rPr>
          <w:lang w:val="en-GB"/>
        </w:rPr>
        <w:t xml:space="preserve"> </w:t>
      </w:r>
      <w:r w:rsidR="00741697" w:rsidRPr="00741697">
        <w:rPr>
          <w:lang w:val="en-GB"/>
        </w:rPr>
        <w:t xml:space="preserve">dexamethasone </w:t>
      </w:r>
      <w:r w:rsidR="006814B2">
        <w:rPr>
          <w:lang w:val="en-GB"/>
        </w:rPr>
        <w:t>compared with</w:t>
      </w:r>
      <w:r w:rsidR="006814B2" w:rsidRPr="00741697">
        <w:rPr>
          <w:lang w:val="en-GB"/>
        </w:rPr>
        <w:t xml:space="preserve"> </w:t>
      </w:r>
      <w:r w:rsidR="00741697" w:rsidRPr="00741697">
        <w:rPr>
          <w:lang w:val="en-GB"/>
        </w:rPr>
        <w:t xml:space="preserve">those having bortezomib plus thalidomide </w:t>
      </w:r>
      <w:r w:rsidR="006814B2">
        <w:rPr>
          <w:lang w:val="en-GB"/>
        </w:rPr>
        <w:t>and</w:t>
      </w:r>
      <w:r w:rsidR="006814B2" w:rsidRPr="00741697">
        <w:rPr>
          <w:lang w:val="en-GB"/>
        </w:rPr>
        <w:t xml:space="preserve"> </w:t>
      </w:r>
      <w:r w:rsidR="00741697" w:rsidRPr="00741697">
        <w:rPr>
          <w:lang w:val="en-GB"/>
        </w:rPr>
        <w:t xml:space="preserve">dexamethasone. The company calculated </w:t>
      </w:r>
      <w:r w:rsidR="00741697">
        <w:rPr>
          <w:lang w:val="en-GB"/>
        </w:rPr>
        <w:t>the</w:t>
      </w:r>
      <w:r w:rsidR="0022257F">
        <w:rPr>
          <w:lang w:val="en-GB"/>
        </w:rPr>
        <w:t>se</w:t>
      </w:r>
      <w:r w:rsidR="00741697">
        <w:rPr>
          <w:lang w:val="en-GB"/>
        </w:rPr>
        <w:t xml:space="preserve"> hazard ratios </w:t>
      </w:r>
      <w:r w:rsidR="00741697" w:rsidRPr="00741697">
        <w:rPr>
          <w:lang w:val="en-GB"/>
        </w:rPr>
        <w:t xml:space="preserve">separately for people with and without minimal residual </w:t>
      </w:r>
      <w:r w:rsidR="009716D6" w:rsidRPr="00741697">
        <w:rPr>
          <w:lang w:val="en-GB"/>
        </w:rPr>
        <w:t>disease</w:t>
      </w:r>
      <w:r w:rsidR="009716D6">
        <w:rPr>
          <w:lang w:val="en-GB"/>
        </w:rPr>
        <w:t xml:space="preserve"> and</w:t>
      </w:r>
      <w:r w:rsidR="0022257F">
        <w:rPr>
          <w:lang w:val="en-GB"/>
        </w:rPr>
        <w:t xml:space="preserve"> used them </w:t>
      </w:r>
      <w:r w:rsidR="00741697">
        <w:rPr>
          <w:lang w:val="en-GB"/>
        </w:rPr>
        <w:t xml:space="preserve">to extrapolate long-term survival in the economic model (see </w:t>
      </w:r>
      <w:hyperlink w:anchor="_It_is_unclear" w:history="1">
        <w:r w:rsidR="00741697" w:rsidRPr="00B63175">
          <w:rPr>
            <w:rStyle w:val="Hyperlink"/>
            <w:lang w:val="en-GB"/>
          </w:rPr>
          <w:t>section 3.</w:t>
        </w:r>
        <w:r w:rsidR="00184F97">
          <w:rPr>
            <w:rStyle w:val="Hyperlink"/>
            <w:lang w:val="en-GB"/>
          </w:rPr>
          <w:t>10</w:t>
        </w:r>
      </w:hyperlink>
      <w:r w:rsidR="00741697">
        <w:rPr>
          <w:lang w:val="en-GB"/>
        </w:rPr>
        <w:t>).</w:t>
      </w:r>
      <w:r w:rsidR="0022257F">
        <w:rPr>
          <w:lang w:val="en-GB"/>
        </w:rPr>
        <w:t xml:space="preserve"> </w:t>
      </w:r>
      <w:r w:rsidR="003C5AD6" w:rsidRPr="003C5AD6">
        <w:rPr>
          <w:lang w:val="en-GB"/>
        </w:rPr>
        <w:t>At technical engagement, the company updated th</w:t>
      </w:r>
      <w:r w:rsidR="003C5AD6">
        <w:rPr>
          <w:lang w:val="en-GB"/>
        </w:rPr>
        <w:t>e landmark analysis</w:t>
      </w:r>
      <w:r w:rsidR="003C5AD6" w:rsidRPr="003C5AD6">
        <w:rPr>
          <w:lang w:val="en-GB"/>
        </w:rPr>
        <w:t xml:space="preserve"> to </w:t>
      </w:r>
      <w:r w:rsidR="003C5AD6" w:rsidRPr="003C5AD6">
        <w:rPr>
          <w:lang w:val="en-GB"/>
        </w:rPr>
        <w:lastRenderedPageBreak/>
        <w:t xml:space="preserve">use the latest data cut from CASSIOPEIA (median follow up of 44.5 months). </w:t>
      </w:r>
      <w:r w:rsidR="000B1D5D" w:rsidRPr="0022257F">
        <w:rPr>
          <w:lang w:val="en-GB"/>
        </w:rPr>
        <w:t xml:space="preserve">The company </w:t>
      </w:r>
      <w:r w:rsidR="0009180E">
        <w:rPr>
          <w:lang w:val="en-GB"/>
        </w:rPr>
        <w:t>could not</w:t>
      </w:r>
      <w:r w:rsidR="000B1D5D" w:rsidRPr="0022257F">
        <w:rPr>
          <w:lang w:val="en-GB"/>
        </w:rPr>
        <w:t xml:space="preserve"> </w:t>
      </w:r>
      <w:r w:rsidR="005E11F6" w:rsidRPr="0022257F">
        <w:rPr>
          <w:lang w:val="en-GB"/>
        </w:rPr>
        <w:t xml:space="preserve">use inverse probability weighting to </w:t>
      </w:r>
      <w:r w:rsidR="000B1D5D" w:rsidRPr="0022257F">
        <w:rPr>
          <w:lang w:val="en-GB"/>
        </w:rPr>
        <w:t xml:space="preserve">adjust the </w:t>
      </w:r>
      <w:r w:rsidR="003C5AD6">
        <w:rPr>
          <w:lang w:val="en-GB"/>
        </w:rPr>
        <w:t xml:space="preserve">updated </w:t>
      </w:r>
      <w:r w:rsidR="000B1D5D" w:rsidRPr="0022257F">
        <w:rPr>
          <w:lang w:val="en-GB"/>
        </w:rPr>
        <w:t>landmark analysis results for the re-randomisation to daratumumab</w:t>
      </w:r>
      <w:r w:rsidR="00B63175" w:rsidRPr="0022257F">
        <w:rPr>
          <w:lang w:val="en-GB"/>
        </w:rPr>
        <w:t xml:space="preserve"> maintenance (see </w:t>
      </w:r>
      <w:hyperlink w:anchor="_Adding_daratumumab_to" w:history="1">
        <w:r w:rsidR="00B63175" w:rsidRPr="0022257F">
          <w:rPr>
            <w:rStyle w:val="Hyperlink"/>
            <w:lang w:val="en-GB"/>
          </w:rPr>
          <w:t>section 3.5</w:t>
        </w:r>
      </w:hyperlink>
      <w:r w:rsidR="00B63175" w:rsidRPr="0022257F">
        <w:rPr>
          <w:lang w:val="en-GB"/>
        </w:rPr>
        <w:t>)</w:t>
      </w:r>
      <w:r w:rsidR="000B1D5D" w:rsidRPr="0022257F">
        <w:rPr>
          <w:lang w:val="en-GB"/>
        </w:rPr>
        <w:t xml:space="preserve">. </w:t>
      </w:r>
      <w:r w:rsidR="00140B15" w:rsidRPr="0022257F">
        <w:rPr>
          <w:lang w:val="en-GB"/>
        </w:rPr>
        <w:t xml:space="preserve">It </w:t>
      </w:r>
      <w:r w:rsidR="00592273" w:rsidRPr="0022257F">
        <w:rPr>
          <w:lang w:val="en-GB"/>
        </w:rPr>
        <w:t>not</w:t>
      </w:r>
      <w:r w:rsidR="00140B15" w:rsidRPr="0022257F">
        <w:rPr>
          <w:lang w:val="en-GB"/>
        </w:rPr>
        <w:t>ed</w:t>
      </w:r>
      <w:r w:rsidR="00592273" w:rsidRPr="0022257F">
        <w:rPr>
          <w:lang w:val="en-GB"/>
        </w:rPr>
        <w:t xml:space="preserve"> that</w:t>
      </w:r>
      <w:r w:rsidR="000B1D5D" w:rsidRPr="0022257F">
        <w:rPr>
          <w:lang w:val="en-GB"/>
        </w:rPr>
        <w:t xml:space="preserve"> the landmark analysis was not pre-specified, and </w:t>
      </w:r>
      <w:r w:rsidR="00240DB1">
        <w:rPr>
          <w:lang w:val="en-GB"/>
        </w:rPr>
        <w:t xml:space="preserve">that </w:t>
      </w:r>
      <w:r w:rsidR="00140B15" w:rsidRPr="0022257F">
        <w:rPr>
          <w:lang w:val="en-GB"/>
        </w:rPr>
        <w:t xml:space="preserve">it </w:t>
      </w:r>
      <w:r w:rsidR="000B1D5D" w:rsidRPr="0022257F">
        <w:rPr>
          <w:lang w:val="en-GB"/>
        </w:rPr>
        <w:t>did not have access to the individual patient data from the second part of CASSIOPEIA</w:t>
      </w:r>
      <w:r w:rsidR="00375430">
        <w:rPr>
          <w:lang w:val="en-GB"/>
        </w:rPr>
        <w:t xml:space="preserve"> because it remains blinded</w:t>
      </w:r>
      <w:r w:rsidR="000B1D5D" w:rsidRPr="0022257F">
        <w:rPr>
          <w:lang w:val="en-GB"/>
        </w:rPr>
        <w:t>.</w:t>
      </w:r>
      <w:r w:rsidR="005E11F6" w:rsidRPr="0022257F">
        <w:rPr>
          <w:lang w:val="en-GB"/>
        </w:rPr>
        <w:t xml:space="preserve"> At technical engagement, the company </w:t>
      </w:r>
      <w:r w:rsidR="00592273" w:rsidRPr="0022257F">
        <w:rPr>
          <w:lang w:val="en-GB"/>
        </w:rPr>
        <w:t xml:space="preserve">instead </w:t>
      </w:r>
      <w:r w:rsidR="00B63175" w:rsidRPr="0022257F">
        <w:rPr>
          <w:lang w:val="en-GB"/>
        </w:rPr>
        <w:t>adjusted the landmark analysis</w:t>
      </w:r>
      <w:r w:rsidR="005E11F6" w:rsidRPr="0022257F">
        <w:rPr>
          <w:lang w:val="en-GB"/>
        </w:rPr>
        <w:t xml:space="preserve"> by censoring the data from all people re-randomised to daratumumab maintenance. </w:t>
      </w:r>
      <w:r w:rsidR="00D967FF" w:rsidRPr="0022257F">
        <w:rPr>
          <w:lang w:val="en-GB"/>
        </w:rPr>
        <w:t xml:space="preserve">The results </w:t>
      </w:r>
      <w:r w:rsidR="00B63175" w:rsidRPr="0022257F">
        <w:rPr>
          <w:lang w:val="en-GB"/>
        </w:rPr>
        <w:t>of this censored analysis</w:t>
      </w:r>
      <w:r w:rsidR="00D967FF" w:rsidRPr="0022257F">
        <w:rPr>
          <w:lang w:val="en-GB"/>
        </w:rPr>
        <w:t xml:space="preserve"> showed that </w:t>
      </w:r>
      <w:r w:rsidR="00B63175" w:rsidRPr="0022257F">
        <w:rPr>
          <w:lang w:val="en-GB"/>
        </w:rPr>
        <w:t>adding</w:t>
      </w:r>
      <w:r w:rsidR="00D967FF" w:rsidRPr="0022257F">
        <w:rPr>
          <w:lang w:val="en-GB"/>
        </w:rPr>
        <w:t xml:space="preserve"> daratumumab improved progression-free </w:t>
      </w:r>
      <w:r w:rsidR="00532A45" w:rsidRPr="0022257F">
        <w:rPr>
          <w:lang w:val="en-GB"/>
        </w:rPr>
        <w:t xml:space="preserve">survival </w:t>
      </w:r>
      <w:r w:rsidR="00D967FF" w:rsidRPr="0022257F">
        <w:rPr>
          <w:lang w:val="en-GB"/>
        </w:rPr>
        <w:t>and overall survival, regard</w:t>
      </w:r>
      <w:r w:rsidR="0031423A" w:rsidRPr="0022257F">
        <w:rPr>
          <w:lang w:val="en-GB"/>
        </w:rPr>
        <w:t>less</w:t>
      </w:r>
      <w:r w:rsidR="00D967FF" w:rsidRPr="0022257F">
        <w:rPr>
          <w:lang w:val="en-GB"/>
        </w:rPr>
        <w:t xml:space="preserve"> of minimal residual disease status. The ERG noted that </w:t>
      </w:r>
      <w:r w:rsidR="00810004" w:rsidRPr="0022257F">
        <w:rPr>
          <w:lang w:val="en-GB"/>
        </w:rPr>
        <w:t xml:space="preserve">the results of the landmark analysis were inconsistent with those from the intention-to-treat (ITT) data adjusted using inverse probability weighting. </w:t>
      </w:r>
      <w:r w:rsidR="00592273" w:rsidRPr="0022257F">
        <w:rPr>
          <w:lang w:val="en-GB"/>
        </w:rPr>
        <w:t xml:space="preserve">The ERG considered </w:t>
      </w:r>
      <w:r w:rsidR="00140B15" w:rsidRPr="0022257F">
        <w:rPr>
          <w:lang w:val="en-GB"/>
        </w:rPr>
        <w:t xml:space="preserve">that </w:t>
      </w:r>
      <w:r w:rsidR="00592273" w:rsidRPr="0022257F">
        <w:rPr>
          <w:lang w:val="en-GB"/>
        </w:rPr>
        <w:t xml:space="preserve">this </w:t>
      </w:r>
      <w:r w:rsidR="00810004" w:rsidRPr="0022257F">
        <w:rPr>
          <w:lang w:val="en-GB"/>
        </w:rPr>
        <w:t xml:space="preserve">was likely because of bias introduced by the company’s censoring approach. The ERG also </w:t>
      </w:r>
      <w:r w:rsidR="00140B15" w:rsidRPr="0022257F">
        <w:rPr>
          <w:lang w:val="en-GB"/>
        </w:rPr>
        <w:t>noted that</w:t>
      </w:r>
      <w:r w:rsidR="00810004" w:rsidRPr="0022257F">
        <w:rPr>
          <w:lang w:val="en-GB"/>
        </w:rPr>
        <w:t xml:space="preserve"> the treatment effect of daratumumab on overall survival </w:t>
      </w:r>
      <w:r w:rsidR="00532A45" w:rsidRPr="0022257F">
        <w:rPr>
          <w:lang w:val="en-GB"/>
        </w:rPr>
        <w:t xml:space="preserve">in the landmark analysis </w:t>
      </w:r>
      <w:r w:rsidR="00140B15" w:rsidRPr="0022257F">
        <w:rPr>
          <w:lang w:val="en-GB"/>
        </w:rPr>
        <w:t>was</w:t>
      </w:r>
      <w:r w:rsidR="00810004" w:rsidRPr="0022257F">
        <w:rPr>
          <w:lang w:val="en-GB"/>
        </w:rPr>
        <w:t xml:space="preserve"> highly uncertain. </w:t>
      </w:r>
      <w:r w:rsidR="00A455EC" w:rsidRPr="0022257F">
        <w:rPr>
          <w:lang w:val="en-GB"/>
        </w:rPr>
        <w:t xml:space="preserve">The committee agreed that the results of the landmark analysis were likely biased </w:t>
      </w:r>
      <w:r w:rsidR="00592273" w:rsidRPr="0022257F">
        <w:rPr>
          <w:lang w:val="en-GB"/>
        </w:rPr>
        <w:t xml:space="preserve">because of </w:t>
      </w:r>
      <w:r w:rsidR="00A455EC" w:rsidRPr="0022257F">
        <w:rPr>
          <w:lang w:val="en-GB"/>
        </w:rPr>
        <w:t xml:space="preserve">informative censoring. However, </w:t>
      </w:r>
      <w:r w:rsidR="00A05068">
        <w:rPr>
          <w:lang w:val="en-GB"/>
        </w:rPr>
        <w:t>it</w:t>
      </w:r>
      <w:r w:rsidR="00592273" w:rsidRPr="0022257F">
        <w:rPr>
          <w:lang w:val="en-GB"/>
        </w:rPr>
        <w:t xml:space="preserve"> deemed that </w:t>
      </w:r>
      <w:r w:rsidR="00A455EC" w:rsidRPr="0022257F">
        <w:rPr>
          <w:lang w:val="en-GB"/>
        </w:rPr>
        <w:t xml:space="preserve">the direction of the bias was unclear </w:t>
      </w:r>
      <w:r w:rsidR="006814B2">
        <w:rPr>
          <w:lang w:val="en-GB"/>
        </w:rPr>
        <w:t>because</w:t>
      </w:r>
      <w:r w:rsidR="006814B2" w:rsidRPr="0022257F">
        <w:rPr>
          <w:lang w:val="en-GB"/>
        </w:rPr>
        <w:t xml:space="preserve"> </w:t>
      </w:r>
      <w:r w:rsidR="00A455EC" w:rsidRPr="0022257F">
        <w:rPr>
          <w:lang w:val="en-GB"/>
        </w:rPr>
        <w:t xml:space="preserve">it affected both treatment arms. The committee concluded that the company’s censoring approach </w:t>
      </w:r>
      <w:r w:rsidR="00AB354C">
        <w:rPr>
          <w:lang w:val="en-GB"/>
        </w:rPr>
        <w:t>had limitations</w:t>
      </w:r>
      <w:r w:rsidR="00A455EC" w:rsidRPr="0022257F">
        <w:rPr>
          <w:lang w:val="en-GB"/>
        </w:rPr>
        <w:t xml:space="preserve">, </w:t>
      </w:r>
      <w:r w:rsidR="00D10819" w:rsidRPr="0022257F">
        <w:rPr>
          <w:lang w:val="en-GB"/>
        </w:rPr>
        <w:t xml:space="preserve">and </w:t>
      </w:r>
      <w:r w:rsidR="00A455EC" w:rsidRPr="0022257F">
        <w:rPr>
          <w:lang w:val="en-GB"/>
        </w:rPr>
        <w:t xml:space="preserve">that its </w:t>
      </w:r>
      <w:r w:rsidR="006814B2">
        <w:rPr>
          <w:lang w:val="en-GB"/>
        </w:rPr>
        <w:t>effect</w:t>
      </w:r>
      <w:r w:rsidR="006814B2" w:rsidRPr="0022257F">
        <w:rPr>
          <w:lang w:val="en-GB"/>
        </w:rPr>
        <w:t xml:space="preserve"> </w:t>
      </w:r>
      <w:r w:rsidR="00A455EC" w:rsidRPr="0022257F">
        <w:rPr>
          <w:lang w:val="en-GB"/>
        </w:rPr>
        <w:t>on the results of the landmark analysis was uncertain.</w:t>
      </w:r>
    </w:p>
    <w:p w14:paraId="26F118E8" w14:textId="77777777" w:rsidR="00BE0AAA" w:rsidRDefault="00BE0AAA" w:rsidP="00BE0AAA">
      <w:pPr>
        <w:pStyle w:val="Heading3"/>
      </w:pPr>
      <w:r>
        <w:t>Minimal residual disease negativity is likely to better predict survival outcomes than conventional response, and can be used in the model</w:t>
      </w:r>
    </w:p>
    <w:p w14:paraId="7B0B9814" w14:textId="15DC1719" w:rsidR="004022B4" w:rsidRDefault="00BE0AAA" w:rsidP="00224B7F">
      <w:pPr>
        <w:pStyle w:val="Numberedlevel2text"/>
        <w:rPr>
          <w:lang w:val="en-GB"/>
        </w:rPr>
      </w:pPr>
      <w:r>
        <w:rPr>
          <w:lang w:val="en-GB"/>
        </w:rPr>
        <w:t xml:space="preserve">The committee was aware that </w:t>
      </w:r>
      <w:r w:rsidR="000500D5">
        <w:rPr>
          <w:lang w:val="en-GB"/>
        </w:rPr>
        <w:t xml:space="preserve">the </w:t>
      </w:r>
      <w:r>
        <w:rPr>
          <w:lang w:val="en-GB"/>
        </w:rPr>
        <w:t xml:space="preserve">company had based the progression-free survival and overall survival extrapolations in its economic model on </w:t>
      </w:r>
      <w:r w:rsidR="00224B7F">
        <w:rPr>
          <w:lang w:val="en-GB"/>
        </w:rPr>
        <w:t xml:space="preserve">minimal residual disease status at the landmark timepoint (see </w:t>
      </w:r>
      <w:hyperlink w:anchor="_The_company’s_censored" w:history="1">
        <w:r w:rsidR="00224B7F" w:rsidRPr="00A54B4C">
          <w:rPr>
            <w:rStyle w:val="Hyperlink"/>
            <w:lang w:val="en-GB"/>
          </w:rPr>
          <w:t>section 3.6</w:t>
        </w:r>
      </w:hyperlink>
      <w:r w:rsidR="00224B7F">
        <w:rPr>
          <w:lang w:val="en-GB"/>
        </w:rPr>
        <w:t xml:space="preserve">). </w:t>
      </w:r>
      <w:r w:rsidRPr="00224B7F">
        <w:rPr>
          <w:lang w:val="en-GB"/>
        </w:rPr>
        <w:t xml:space="preserve">The clinical experts stated that, although minimal residual disease is not routinely measured in clinical practice, minimal residual disease negativity is associated with better progression-free survival and overall survival than minimal residual disease positivity. The committee queried </w:t>
      </w:r>
      <w:r w:rsidRPr="00224B7F">
        <w:rPr>
          <w:lang w:val="en-GB"/>
        </w:rPr>
        <w:lastRenderedPageBreak/>
        <w:t xml:space="preserve">why the company had chosen to split the patients in the model by minimal residual disease (a secondary </w:t>
      </w:r>
      <w:r w:rsidR="00A05068">
        <w:rPr>
          <w:lang w:val="en-GB"/>
        </w:rPr>
        <w:t>outcome</w:t>
      </w:r>
      <w:r w:rsidRPr="00224B7F">
        <w:rPr>
          <w:lang w:val="en-GB"/>
        </w:rPr>
        <w:t xml:space="preserve"> in CASSIOPEIA) rather than stringent complete response (the primary </w:t>
      </w:r>
      <w:r w:rsidR="00A05068">
        <w:rPr>
          <w:lang w:val="en-GB"/>
        </w:rPr>
        <w:t>outcome</w:t>
      </w:r>
      <w:r w:rsidRPr="00224B7F">
        <w:rPr>
          <w:lang w:val="en-GB"/>
        </w:rPr>
        <w:t xml:space="preserve"> in CASSIOPEIA). The company explained that when it designed CASSIOPEIA, stringent complete response was considered the most informative </w:t>
      </w:r>
      <w:r w:rsidR="00A05068">
        <w:rPr>
          <w:lang w:val="en-GB"/>
        </w:rPr>
        <w:t>outcome</w:t>
      </w:r>
      <w:r w:rsidRPr="00224B7F">
        <w:rPr>
          <w:lang w:val="en-GB"/>
        </w:rPr>
        <w:t>. However, according to the company, minimal residual disease has since been identified as superior to stringent complete response in assessing depth of response.</w:t>
      </w:r>
      <w:r w:rsidR="00224B7F">
        <w:rPr>
          <w:lang w:val="en-GB"/>
        </w:rPr>
        <w:t xml:space="preserve"> </w:t>
      </w:r>
      <w:r w:rsidR="007264E7">
        <w:rPr>
          <w:lang w:val="en-GB"/>
        </w:rPr>
        <w:t>But</w:t>
      </w:r>
      <w:r w:rsidR="00224B7F">
        <w:rPr>
          <w:lang w:val="en-GB"/>
        </w:rPr>
        <w:t xml:space="preserve"> the company acknowledged that minimal residual was yet to be accepted by </w:t>
      </w:r>
      <w:r w:rsidR="004022B4">
        <w:rPr>
          <w:lang w:val="en-GB"/>
        </w:rPr>
        <w:t xml:space="preserve">regulators as a primary outcome in multiple myeloma trials not designed to show superiority in terms of progression-free survival. </w:t>
      </w:r>
      <w:r w:rsidRPr="00224B7F">
        <w:rPr>
          <w:lang w:val="en-GB"/>
        </w:rPr>
        <w:t xml:space="preserve">The ERG agreed that having no minimal residual disease is likely to better predict survival outcomes than </w:t>
      </w:r>
      <w:r w:rsidR="007264E7">
        <w:rPr>
          <w:lang w:val="en-GB"/>
        </w:rPr>
        <w:t xml:space="preserve">a </w:t>
      </w:r>
      <w:r w:rsidRPr="00224B7F">
        <w:rPr>
          <w:lang w:val="en-GB"/>
        </w:rPr>
        <w:t xml:space="preserve">stringent complete response. The committee was aware that in </w:t>
      </w:r>
      <w:hyperlink r:id="rId14" w:history="1">
        <w:r w:rsidRPr="006814B2">
          <w:rPr>
            <w:rStyle w:val="Hyperlink"/>
            <w:lang w:val="en-GB"/>
          </w:rPr>
          <w:t xml:space="preserve">NICE’s technology appraisal guidance on </w:t>
        </w:r>
        <w:r w:rsidR="006814B2" w:rsidRPr="006814B2">
          <w:rPr>
            <w:rStyle w:val="Hyperlink"/>
            <w:lang w:val="en-GB"/>
          </w:rPr>
          <w:t>daratumumab with bortezomib and dexamethasone for previously treated multiple myeloma</w:t>
        </w:r>
      </w:hyperlink>
      <w:r w:rsidRPr="00224B7F">
        <w:rPr>
          <w:lang w:val="en-GB"/>
        </w:rPr>
        <w:t xml:space="preserve">, the committee had concluded that the relationship between minimal residual disease and long-term overall survival was not well established and could not inform the economic model. However, it understood that there was now greater clinical support for the link between minimal residual disease negativity and survival outcomes. </w:t>
      </w:r>
      <w:r w:rsidR="004022B4">
        <w:rPr>
          <w:lang w:val="en-GB"/>
        </w:rPr>
        <w:t xml:space="preserve">The committee would have preferred to see further evidence to support the company’s assertion that minimal residual disease status better predicts progression-free survival and overall survival than does stringent complete response. Based on the clinical input, the </w:t>
      </w:r>
      <w:r w:rsidR="004022B4" w:rsidRPr="004022B4">
        <w:rPr>
          <w:lang w:val="en-GB"/>
        </w:rPr>
        <w:t xml:space="preserve">committee concluded that in the company’s approach to modelling long-term survival (see </w:t>
      </w:r>
      <w:hyperlink w:anchor="_It_is_unclear" w:history="1">
        <w:r w:rsidR="004022B4" w:rsidRPr="00A54B4C">
          <w:rPr>
            <w:rStyle w:val="Hyperlink"/>
            <w:lang w:val="en-GB"/>
          </w:rPr>
          <w:t>section 3.</w:t>
        </w:r>
        <w:r w:rsidR="00A54B4C" w:rsidRPr="00A54B4C">
          <w:rPr>
            <w:rStyle w:val="Hyperlink"/>
            <w:lang w:val="en-GB"/>
          </w:rPr>
          <w:t>10</w:t>
        </w:r>
      </w:hyperlink>
      <w:r w:rsidR="004022B4" w:rsidRPr="004022B4">
        <w:rPr>
          <w:lang w:val="en-GB"/>
        </w:rPr>
        <w:t>), it was reasonable to split patients into those with and without minimal residual disease.</w:t>
      </w:r>
    </w:p>
    <w:p w14:paraId="35D64950" w14:textId="22CD2977" w:rsidR="000C5DF2" w:rsidRDefault="000C5DF2" w:rsidP="000C5DF2">
      <w:pPr>
        <w:pStyle w:val="Heading2"/>
      </w:pPr>
      <w:r>
        <w:t>Adverse events</w:t>
      </w:r>
    </w:p>
    <w:p w14:paraId="0015D33F" w14:textId="563F7C3B" w:rsidR="0034525F" w:rsidRDefault="0034525F" w:rsidP="0034525F">
      <w:pPr>
        <w:pStyle w:val="Heading3"/>
      </w:pPr>
      <w:r>
        <w:t xml:space="preserve">The </w:t>
      </w:r>
      <w:r w:rsidR="00AB354C">
        <w:t xml:space="preserve">adverse event </w:t>
      </w:r>
      <w:r>
        <w:t>profile of daratumumab</w:t>
      </w:r>
      <w:r w:rsidR="00095CC7">
        <w:t xml:space="preserve"> plus </w:t>
      </w:r>
      <w:r w:rsidR="00095CC7" w:rsidRPr="00095CC7">
        <w:t>bortezomib</w:t>
      </w:r>
      <w:r w:rsidR="006814B2">
        <w:t>,</w:t>
      </w:r>
      <w:r w:rsidR="00095CC7" w:rsidRPr="00095CC7">
        <w:t xml:space="preserve"> thalidomide </w:t>
      </w:r>
      <w:r w:rsidR="006814B2">
        <w:t>and</w:t>
      </w:r>
      <w:r w:rsidR="006814B2" w:rsidRPr="00095CC7">
        <w:t xml:space="preserve"> </w:t>
      </w:r>
      <w:r w:rsidR="00095CC7" w:rsidRPr="00095CC7">
        <w:t xml:space="preserve">dexamethasone </w:t>
      </w:r>
      <w:r>
        <w:t>is acceptable</w:t>
      </w:r>
    </w:p>
    <w:p w14:paraId="720486AB" w14:textId="44219DEC" w:rsidR="00172BE1" w:rsidRPr="00172BE1" w:rsidRDefault="0034525F" w:rsidP="0034525F">
      <w:pPr>
        <w:pStyle w:val="Numberedlevel2text"/>
        <w:numPr>
          <w:ilvl w:val="1"/>
          <w:numId w:val="1"/>
        </w:numPr>
      </w:pPr>
      <w:r>
        <w:rPr>
          <w:lang w:val="en-GB"/>
        </w:rPr>
        <w:t xml:space="preserve">The company </w:t>
      </w:r>
      <w:r w:rsidR="0022257F">
        <w:rPr>
          <w:lang w:val="en-GB"/>
        </w:rPr>
        <w:t>considered</w:t>
      </w:r>
      <w:r>
        <w:rPr>
          <w:lang w:val="en-GB"/>
        </w:rPr>
        <w:t xml:space="preserve"> that o</w:t>
      </w:r>
      <w:r w:rsidRPr="00E06649">
        <w:rPr>
          <w:lang w:val="en-GB"/>
        </w:rPr>
        <w:t xml:space="preserve">verall, the </w:t>
      </w:r>
      <w:r w:rsidR="00AB354C">
        <w:rPr>
          <w:lang w:val="en-GB"/>
        </w:rPr>
        <w:t>adverse event</w:t>
      </w:r>
      <w:r w:rsidR="00AB354C" w:rsidRPr="00E06649">
        <w:rPr>
          <w:lang w:val="en-GB"/>
        </w:rPr>
        <w:t xml:space="preserve"> </w:t>
      </w:r>
      <w:r w:rsidRPr="00E06649">
        <w:rPr>
          <w:lang w:val="en-GB"/>
        </w:rPr>
        <w:t xml:space="preserve">profile </w:t>
      </w:r>
      <w:r w:rsidR="00E05D10">
        <w:rPr>
          <w:lang w:val="en-GB"/>
        </w:rPr>
        <w:t xml:space="preserve">of treatments </w:t>
      </w:r>
      <w:r w:rsidRPr="00E06649">
        <w:rPr>
          <w:lang w:val="en-GB"/>
        </w:rPr>
        <w:t>was similar between groups</w:t>
      </w:r>
      <w:r>
        <w:rPr>
          <w:lang w:val="en-GB"/>
        </w:rPr>
        <w:t xml:space="preserve"> in CASSIOPEIA</w:t>
      </w:r>
      <w:r w:rsidR="00240DB1">
        <w:rPr>
          <w:lang w:val="en-GB"/>
        </w:rPr>
        <w:t>.</w:t>
      </w:r>
      <w:r w:rsidR="005F4946">
        <w:rPr>
          <w:lang w:val="en-GB"/>
        </w:rPr>
        <w:t xml:space="preserve"> </w:t>
      </w:r>
      <w:r w:rsidR="001A6A8F">
        <w:rPr>
          <w:lang w:val="en-GB"/>
        </w:rPr>
        <w:t xml:space="preserve">However, </w:t>
      </w:r>
      <w:r w:rsidR="005F4946">
        <w:rPr>
          <w:lang w:val="en-GB"/>
        </w:rPr>
        <w:t xml:space="preserve">the </w:t>
      </w:r>
      <w:r w:rsidR="005F4946">
        <w:rPr>
          <w:lang w:val="en-GB"/>
        </w:rPr>
        <w:lastRenderedPageBreak/>
        <w:t>committee noted the</w:t>
      </w:r>
      <w:r w:rsidRPr="00E06649">
        <w:rPr>
          <w:lang w:val="en-GB"/>
        </w:rPr>
        <w:t xml:space="preserve"> higher frequency </w:t>
      </w:r>
      <w:r w:rsidR="00172BE1">
        <w:rPr>
          <w:lang w:val="en-GB"/>
        </w:rPr>
        <w:t xml:space="preserve">of </w:t>
      </w:r>
      <w:r w:rsidR="00172BE1" w:rsidRPr="00172BE1">
        <w:rPr>
          <w:lang w:val="en-GB"/>
        </w:rPr>
        <w:t>nausea, neutropenia, thrombocytopenia, lymphopenia and cough</w:t>
      </w:r>
      <w:r w:rsidR="00172BE1">
        <w:rPr>
          <w:lang w:val="en-GB"/>
        </w:rPr>
        <w:t xml:space="preserve"> reported in the experimental arm. </w:t>
      </w:r>
      <w:r w:rsidR="005F4946">
        <w:rPr>
          <w:lang w:val="en-GB"/>
        </w:rPr>
        <w:t>According to the company, t</w:t>
      </w:r>
      <w:r w:rsidR="00172BE1" w:rsidRPr="00172BE1">
        <w:rPr>
          <w:lang w:val="en-GB"/>
        </w:rPr>
        <w:t xml:space="preserve">he increased rate of neutropenia in </w:t>
      </w:r>
      <w:r w:rsidR="00172BE1">
        <w:rPr>
          <w:lang w:val="en-GB"/>
        </w:rPr>
        <w:t>people having</w:t>
      </w:r>
      <w:r w:rsidR="00172BE1" w:rsidRPr="00172BE1">
        <w:rPr>
          <w:lang w:val="en-GB"/>
        </w:rPr>
        <w:t xml:space="preserve"> daratumumab was not associated with </w:t>
      </w:r>
      <w:r w:rsidR="00532A45">
        <w:rPr>
          <w:lang w:val="en-GB"/>
        </w:rPr>
        <w:t xml:space="preserve">an </w:t>
      </w:r>
      <w:r w:rsidR="00172BE1" w:rsidRPr="00172BE1">
        <w:rPr>
          <w:lang w:val="en-GB"/>
        </w:rPr>
        <w:t>increased risk of neutropenic fever</w:t>
      </w:r>
      <w:r w:rsidR="00172BE1">
        <w:rPr>
          <w:lang w:val="en-GB"/>
        </w:rPr>
        <w:t xml:space="preserve">. </w:t>
      </w:r>
      <w:r w:rsidR="00172BE1" w:rsidRPr="00172BE1">
        <w:rPr>
          <w:lang w:val="en-GB"/>
        </w:rPr>
        <w:t xml:space="preserve">The company noted that, at </w:t>
      </w:r>
      <w:r w:rsidR="00172BE1">
        <w:rPr>
          <w:lang w:val="en-GB"/>
        </w:rPr>
        <w:t xml:space="preserve">a </w:t>
      </w:r>
      <w:r w:rsidR="00172BE1" w:rsidRPr="00172BE1">
        <w:rPr>
          <w:lang w:val="en-GB"/>
        </w:rPr>
        <w:t>median follow</w:t>
      </w:r>
      <w:r w:rsidR="006D271D">
        <w:rPr>
          <w:lang w:val="en-GB"/>
        </w:rPr>
        <w:t xml:space="preserve"> </w:t>
      </w:r>
      <w:r w:rsidR="00172BE1" w:rsidRPr="00172BE1">
        <w:rPr>
          <w:lang w:val="en-GB"/>
        </w:rPr>
        <w:t>up of 18.8</w:t>
      </w:r>
      <w:r w:rsidR="006D271D">
        <w:rPr>
          <w:lang w:val="en-GB"/>
        </w:rPr>
        <w:t> </w:t>
      </w:r>
      <w:r w:rsidR="00172BE1" w:rsidRPr="00172BE1">
        <w:rPr>
          <w:lang w:val="en-GB"/>
        </w:rPr>
        <w:t xml:space="preserve">months, infusion-related reactions of any grade associated with daratumumab were </w:t>
      </w:r>
      <w:r w:rsidR="006D271D">
        <w:rPr>
          <w:lang w:val="en-GB"/>
        </w:rPr>
        <w:t>seen</w:t>
      </w:r>
      <w:r w:rsidR="006D271D" w:rsidRPr="00172BE1">
        <w:rPr>
          <w:lang w:val="en-GB"/>
        </w:rPr>
        <w:t xml:space="preserve"> </w:t>
      </w:r>
      <w:r w:rsidR="00172BE1" w:rsidRPr="00172BE1">
        <w:rPr>
          <w:lang w:val="en-GB"/>
        </w:rPr>
        <w:t xml:space="preserve">in </w:t>
      </w:r>
      <w:r w:rsidR="00172BE1">
        <w:rPr>
          <w:lang w:val="en-GB"/>
        </w:rPr>
        <w:t xml:space="preserve">around </w:t>
      </w:r>
      <w:r w:rsidR="00172BE1" w:rsidRPr="00172BE1">
        <w:rPr>
          <w:lang w:val="en-GB"/>
        </w:rPr>
        <w:t>35% of patients</w:t>
      </w:r>
      <w:r w:rsidR="00095CC7">
        <w:rPr>
          <w:lang w:val="en-GB"/>
        </w:rPr>
        <w:t>. These</w:t>
      </w:r>
      <w:r w:rsidR="00172BE1" w:rsidRPr="00172BE1">
        <w:rPr>
          <w:lang w:val="en-GB"/>
        </w:rPr>
        <w:t xml:space="preserve"> were manageable, with a low frequency of </w:t>
      </w:r>
      <w:r w:rsidR="00095CC7">
        <w:rPr>
          <w:lang w:val="en-GB"/>
        </w:rPr>
        <w:t>severe (</w:t>
      </w:r>
      <w:r w:rsidR="006D271D">
        <w:rPr>
          <w:lang w:val="en-GB"/>
        </w:rPr>
        <w:t>g</w:t>
      </w:r>
      <w:r w:rsidR="00172BE1" w:rsidRPr="00172BE1">
        <w:rPr>
          <w:lang w:val="en-GB"/>
        </w:rPr>
        <w:t>rade 3 or 4</w:t>
      </w:r>
      <w:r w:rsidR="00095CC7">
        <w:rPr>
          <w:lang w:val="en-GB"/>
        </w:rPr>
        <w:t>)</w:t>
      </w:r>
      <w:r w:rsidR="00172BE1" w:rsidRPr="00172BE1">
        <w:rPr>
          <w:lang w:val="en-GB"/>
        </w:rPr>
        <w:t xml:space="preserve"> events (3.5%), low rates of </w:t>
      </w:r>
      <w:r w:rsidR="006D271D">
        <w:rPr>
          <w:lang w:val="en-GB"/>
        </w:rPr>
        <w:t>stopping treatment</w:t>
      </w:r>
      <w:r w:rsidR="006D271D" w:rsidRPr="00172BE1">
        <w:rPr>
          <w:lang w:val="en-GB"/>
        </w:rPr>
        <w:t xml:space="preserve"> </w:t>
      </w:r>
      <w:r w:rsidR="00172BE1" w:rsidRPr="00172BE1">
        <w:rPr>
          <w:lang w:val="en-GB"/>
        </w:rPr>
        <w:t>(0.6%) and no fatal events.</w:t>
      </w:r>
      <w:r w:rsidR="00095CC7">
        <w:rPr>
          <w:lang w:val="en-GB"/>
        </w:rPr>
        <w:t xml:space="preserve"> The company added </w:t>
      </w:r>
      <w:r w:rsidR="00095CC7" w:rsidRPr="00095CC7">
        <w:rPr>
          <w:lang w:val="en-GB"/>
        </w:rPr>
        <w:t>that</w:t>
      </w:r>
      <w:r w:rsidR="00E05D10">
        <w:rPr>
          <w:lang w:val="en-GB"/>
        </w:rPr>
        <w:t xml:space="preserve"> it anticipated that</w:t>
      </w:r>
      <w:r w:rsidR="00095CC7" w:rsidRPr="00095CC7">
        <w:rPr>
          <w:lang w:val="en-GB"/>
        </w:rPr>
        <w:t xml:space="preserve"> the subcutaneous formulation of daratumumab </w:t>
      </w:r>
      <w:r w:rsidR="0009180E">
        <w:rPr>
          <w:lang w:val="en-GB"/>
        </w:rPr>
        <w:t>would</w:t>
      </w:r>
      <w:r w:rsidR="00095CC7" w:rsidRPr="00095CC7">
        <w:rPr>
          <w:lang w:val="en-GB"/>
        </w:rPr>
        <w:t xml:space="preserve"> </w:t>
      </w:r>
      <w:r w:rsidR="00532A45">
        <w:rPr>
          <w:lang w:val="en-GB"/>
        </w:rPr>
        <w:t>have</w:t>
      </w:r>
      <w:r w:rsidR="00095CC7" w:rsidRPr="00095CC7">
        <w:rPr>
          <w:lang w:val="en-GB"/>
        </w:rPr>
        <w:t xml:space="preserve"> </w:t>
      </w:r>
      <w:r w:rsidR="00532A45">
        <w:rPr>
          <w:lang w:val="en-GB"/>
        </w:rPr>
        <w:t xml:space="preserve">a </w:t>
      </w:r>
      <w:r w:rsidR="00095CC7" w:rsidRPr="00095CC7">
        <w:rPr>
          <w:lang w:val="en-GB"/>
        </w:rPr>
        <w:t>lower incidence of infusion-related reactions</w:t>
      </w:r>
      <w:r w:rsidR="00095CC7">
        <w:rPr>
          <w:lang w:val="en-GB"/>
        </w:rPr>
        <w:t xml:space="preserve">. </w:t>
      </w:r>
      <w:r w:rsidR="00095CC7" w:rsidRPr="00095CC7">
        <w:rPr>
          <w:lang w:val="en-GB"/>
        </w:rPr>
        <w:t>The clinical experts noted that overall</w:t>
      </w:r>
      <w:r w:rsidR="0022257F">
        <w:rPr>
          <w:lang w:val="en-GB"/>
        </w:rPr>
        <w:t>,</w:t>
      </w:r>
      <w:r w:rsidR="00095CC7" w:rsidRPr="00095CC7">
        <w:rPr>
          <w:lang w:val="en-GB"/>
        </w:rPr>
        <w:t xml:space="preserve"> daratumumab has limited and manageable adverse effects</w:t>
      </w:r>
      <w:r w:rsidR="00095CC7">
        <w:rPr>
          <w:lang w:val="en-GB"/>
        </w:rPr>
        <w:t xml:space="preserve">. </w:t>
      </w:r>
      <w:r w:rsidR="00095CC7" w:rsidRPr="00095CC7">
        <w:rPr>
          <w:lang w:val="en-GB"/>
        </w:rPr>
        <w:t xml:space="preserve">The committee concluded that the </w:t>
      </w:r>
      <w:r w:rsidR="00AB354C">
        <w:rPr>
          <w:lang w:val="en-GB"/>
        </w:rPr>
        <w:t>adverse event</w:t>
      </w:r>
      <w:r w:rsidR="00AB354C" w:rsidRPr="00095CC7">
        <w:rPr>
          <w:lang w:val="en-GB"/>
        </w:rPr>
        <w:t xml:space="preserve"> </w:t>
      </w:r>
      <w:r w:rsidR="00095CC7" w:rsidRPr="00095CC7">
        <w:rPr>
          <w:lang w:val="en-GB"/>
        </w:rPr>
        <w:t>profile of</w:t>
      </w:r>
      <w:r w:rsidR="00095CC7">
        <w:rPr>
          <w:lang w:val="en-GB"/>
        </w:rPr>
        <w:t xml:space="preserve"> </w:t>
      </w:r>
      <w:r w:rsidR="00095CC7" w:rsidRPr="00095CC7">
        <w:rPr>
          <w:lang w:val="en-GB"/>
        </w:rPr>
        <w:t xml:space="preserve">daratumumab </w:t>
      </w:r>
      <w:r w:rsidR="00BA225D">
        <w:rPr>
          <w:lang w:val="en-GB"/>
        </w:rPr>
        <w:t>plus</w:t>
      </w:r>
      <w:r w:rsidR="00BA225D" w:rsidRPr="00095CC7">
        <w:rPr>
          <w:lang w:val="en-GB"/>
        </w:rPr>
        <w:t xml:space="preserve"> </w:t>
      </w:r>
      <w:r w:rsidR="00095CC7" w:rsidRPr="00095CC7">
        <w:rPr>
          <w:lang w:val="en-GB"/>
        </w:rPr>
        <w:t xml:space="preserve">bortezomib, thalidomide and dexamethasone </w:t>
      </w:r>
      <w:r w:rsidR="00095CC7">
        <w:rPr>
          <w:lang w:val="en-GB"/>
        </w:rPr>
        <w:t>wa</w:t>
      </w:r>
      <w:r w:rsidR="00095CC7" w:rsidRPr="00095CC7">
        <w:rPr>
          <w:lang w:val="en-GB"/>
        </w:rPr>
        <w:t>s acceptable.</w:t>
      </w:r>
    </w:p>
    <w:p w14:paraId="565C00FA" w14:textId="33BC781F" w:rsidR="0034525F" w:rsidRDefault="0034525F" w:rsidP="0034525F">
      <w:pPr>
        <w:pStyle w:val="Heading2"/>
      </w:pPr>
      <w:r w:rsidRPr="00662107">
        <w:t>Indirect treatment comparison</w:t>
      </w:r>
      <w:r w:rsidR="000C5DF2">
        <w:t>s</w:t>
      </w:r>
    </w:p>
    <w:p w14:paraId="229E47F8" w14:textId="7C77CB37" w:rsidR="0034525F" w:rsidRDefault="0034525F" w:rsidP="0034525F">
      <w:pPr>
        <w:pStyle w:val="Heading3"/>
      </w:pPr>
      <w:bookmarkStart w:id="6" w:name="_The_results_of"/>
      <w:bookmarkEnd w:id="6"/>
      <w:r w:rsidRPr="00662107">
        <w:t xml:space="preserve">The </w:t>
      </w:r>
      <w:r w:rsidR="000C5DF2">
        <w:t>results of the company’s matching-adjusted indirect comparisons are uncertain</w:t>
      </w:r>
    </w:p>
    <w:p w14:paraId="3A6FCFBD" w14:textId="58B439C1" w:rsidR="000C5DF2" w:rsidRPr="000C5DF2" w:rsidRDefault="0034525F" w:rsidP="009B4BF5">
      <w:pPr>
        <w:pStyle w:val="Numberedlevel2text"/>
        <w:numPr>
          <w:ilvl w:val="1"/>
          <w:numId w:val="1"/>
        </w:numPr>
      </w:pPr>
      <w:bookmarkStart w:id="7" w:name="_Ref71798633"/>
      <w:r>
        <w:rPr>
          <w:lang w:val="en-GB"/>
        </w:rPr>
        <w:t xml:space="preserve">There </w:t>
      </w:r>
      <w:r w:rsidR="00E05D10">
        <w:rPr>
          <w:lang w:val="en-GB"/>
        </w:rPr>
        <w:t xml:space="preserve">are </w:t>
      </w:r>
      <w:r>
        <w:rPr>
          <w:lang w:val="en-GB"/>
        </w:rPr>
        <w:t xml:space="preserve">no trials </w:t>
      </w:r>
      <w:r w:rsidR="00DF5992">
        <w:rPr>
          <w:lang w:val="en-GB"/>
        </w:rPr>
        <w:t>directly comparing</w:t>
      </w:r>
      <w:r>
        <w:rPr>
          <w:lang w:val="en-GB"/>
        </w:rPr>
        <w:t xml:space="preserve"> </w:t>
      </w:r>
      <w:r w:rsidR="00095CC7" w:rsidRPr="00095CC7">
        <w:rPr>
          <w:lang w:val="en-GB"/>
        </w:rPr>
        <w:t>daratumumab plus bortezomib</w:t>
      </w:r>
      <w:r w:rsidR="00BA225D">
        <w:rPr>
          <w:lang w:val="en-GB"/>
        </w:rPr>
        <w:t>,</w:t>
      </w:r>
      <w:r w:rsidR="00095CC7" w:rsidRPr="00095CC7">
        <w:rPr>
          <w:lang w:val="en-GB"/>
        </w:rPr>
        <w:t xml:space="preserve"> thalidomide </w:t>
      </w:r>
      <w:r w:rsidR="00BA225D">
        <w:rPr>
          <w:lang w:val="en-GB"/>
        </w:rPr>
        <w:t>and</w:t>
      </w:r>
      <w:r w:rsidR="00BA225D" w:rsidRPr="00095CC7">
        <w:rPr>
          <w:lang w:val="en-GB"/>
        </w:rPr>
        <w:t xml:space="preserve"> </w:t>
      </w:r>
      <w:r w:rsidR="00095CC7" w:rsidRPr="00095CC7">
        <w:rPr>
          <w:lang w:val="en-GB"/>
        </w:rPr>
        <w:t>dexamethasone</w:t>
      </w:r>
      <w:r>
        <w:rPr>
          <w:lang w:val="en-GB"/>
        </w:rPr>
        <w:t xml:space="preserve"> </w:t>
      </w:r>
      <w:r w:rsidR="00DF5992">
        <w:rPr>
          <w:lang w:val="en-GB"/>
        </w:rPr>
        <w:t>with</w:t>
      </w:r>
      <w:r>
        <w:rPr>
          <w:lang w:val="en-GB"/>
        </w:rPr>
        <w:t xml:space="preserve"> </w:t>
      </w:r>
      <w:r w:rsidRPr="003309A6">
        <w:rPr>
          <w:lang w:val="en-GB"/>
        </w:rPr>
        <w:t>bortezomib</w:t>
      </w:r>
      <w:r w:rsidR="00095CC7">
        <w:rPr>
          <w:lang w:val="en-GB"/>
        </w:rPr>
        <w:t xml:space="preserve"> plus dexamethasone, with or without cyclophosphamide</w:t>
      </w:r>
      <w:r>
        <w:rPr>
          <w:lang w:val="en-GB"/>
        </w:rPr>
        <w:t xml:space="preserve">. </w:t>
      </w:r>
      <w:r w:rsidR="00DF5992">
        <w:rPr>
          <w:lang w:val="en-GB"/>
        </w:rPr>
        <w:t>Therefore, t</w:t>
      </w:r>
      <w:r>
        <w:rPr>
          <w:lang w:val="en-GB"/>
        </w:rPr>
        <w:t xml:space="preserve">he company </w:t>
      </w:r>
      <w:r w:rsidR="00DF5992">
        <w:rPr>
          <w:lang w:val="en-GB"/>
        </w:rPr>
        <w:t>did</w:t>
      </w:r>
      <w:r>
        <w:rPr>
          <w:lang w:val="en-GB"/>
        </w:rPr>
        <w:t xml:space="preserve"> </w:t>
      </w:r>
      <w:r w:rsidRPr="003309A6">
        <w:rPr>
          <w:lang w:val="en-GB"/>
        </w:rPr>
        <w:t>matching</w:t>
      </w:r>
      <w:r w:rsidR="00DF5992">
        <w:rPr>
          <w:lang w:val="en-GB"/>
        </w:rPr>
        <w:t>-</w:t>
      </w:r>
      <w:r w:rsidRPr="003309A6">
        <w:rPr>
          <w:lang w:val="en-GB"/>
        </w:rPr>
        <w:t>adjusted indirect comparison</w:t>
      </w:r>
      <w:r w:rsidR="00DF5992">
        <w:rPr>
          <w:lang w:val="en-GB"/>
        </w:rPr>
        <w:t>s</w:t>
      </w:r>
      <w:r w:rsidR="00BA225D">
        <w:rPr>
          <w:lang w:val="en-GB"/>
        </w:rPr>
        <w:t xml:space="preserve"> and</w:t>
      </w:r>
      <w:r w:rsidR="00E97972">
        <w:rPr>
          <w:lang w:val="en-GB"/>
        </w:rPr>
        <w:t xml:space="preserve"> used these to estimate the relative efficacy</w:t>
      </w:r>
      <w:r w:rsidR="00D9336A">
        <w:rPr>
          <w:lang w:val="en-GB"/>
        </w:rPr>
        <w:t xml:space="preserve"> of the 2 regimens</w:t>
      </w:r>
      <w:r w:rsidR="00BA225D">
        <w:rPr>
          <w:lang w:val="en-GB"/>
        </w:rPr>
        <w:t xml:space="preserve">. </w:t>
      </w:r>
      <w:r w:rsidR="00E97972">
        <w:rPr>
          <w:lang w:val="en-GB"/>
        </w:rPr>
        <w:t xml:space="preserve">The company also estimated the relative efficacy of bortezomib plus thalidomide </w:t>
      </w:r>
      <w:r w:rsidR="00BA225D">
        <w:rPr>
          <w:lang w:val="en-GB"/>
        </w:rPr>
        <w:t xml:space="preserve">and </w:t>
      </w:r>
      <w:r w:rsidR="00E97972">
        <w:rPr>
          <w:lang w:val="en-GB"/>
        </w:rPr>
        <w:t xml:space="preserve">dexamethasone compared with </w:t>
      </w:r>
      <w:r w:rsidR="00E97972" w:rsidRPr="00E97972">
        <w:rPr>
          <w:lang w:val="en-GB"/>
        </w:rPr>
        <w:t>bortezomib plus dexamethasone, with or without cyclophosphamide</w:t>
      </w:r>
      <w:r w:rsidR="00E97972">
        <w:rPr>
          <w:lang w:val="en-GB"/>
        </w:rPr>
        <w:t xml:space="preserve">. </w:t>
      </w:r>
      <w:r w:rsidR="00DF5992" w:rsidRPr="00E97972">
        <w:rPr>
          <w:lang w:val="en-GB"/>
        </w:rPr>
        <w:t xml:space="preserve">For </w:t>
      </w:r>
      <w:bookmarkStart w:id="8" w:name="_Hlk71790986"/>
      <w:r w:rsidR="00DF5992" w:rsidRPr="00E97972">
        <w:rPr>
          <w:lang w:val="en-GB"/>
        </w:rPr>
        <w:t xml:space="preserve">bortezomib plus cyclophosphamide </w:t>
      </w:r>
      <w:r w:rsidR="00BA225D">
        <w:rPr>
          <w:lang w:val="en-GB"/>
        </w:rPr>
        <w:t>and</w:t>
      </w:r>
      <w:r w:rsidR="00BA225D" w:rsidRPr="00E97972">
        <w:rPr>
          <w:lang w:val="en-GB"/>
        </w:rPr>
        <w:t xml:space="preserve"> </w:t>
      </w:r>
      <w:r w:rsidR="00DF5992" w:rsidRPr="00E97972">
        <w:rPr>
          <w:lang w:val="en-GB"/>
        </w:rPr>
        <w:t xml:space="preserve">dexamethasone </w:t>
      </w:r>
      <w:bookmarkEnd w:id="8"/>
      <w:r w:rsidR="00DF5992" w:rsidRPr="00E97972">
        <w:rPr>
          <w:lang w:val="en-GB"/>
        </w:rPr>
        <w:t>the company used the data from GMMG-MM5, a randomised trial comparing</w:t>
      </w:r>
      <w:r w:rsidR="00971BFB">
        <w:rPr>
          <w:lang w:val="en-GB"/>
        </w:rPr>
        <w:t xml:space="preserve"> this regimen </w:t>
      </w:r>
      <w:r w:rsidR="00DF5992" w:rsidRPr="00E97972">
        <w:rPr>
          <w:lang w:val="en-GB"/>
        </w:rPr>
        <w:t xml:space="preserve">with doxorubicin </w:t>
      </w:r>
      <w:r w:rsidR="0015280C" w:rsidRPr="00E97972">
        <w:rPr>
          <w:lang w:val="en-GB"/>
        </w:rPr>
        <w:t>plus dexamethasone. For bortezomib plus dexamethasone</w:t>
      </w:r>
      <w:r w:rsidR="00BA225D">
        <w:rPr>
          <w:lang w:val="en-GB"/>
        </w:rPr>
        <w:t>,</w:t>
      </w:r>
      <w:r w:rsidR="0015280C" w:rsidRPr="00E97972">
        <w:rPr>
          <w:lang w:val="en-GB"/>
        </w:rPr>
        <w:t xml:space="preserve"> the company used the data from IFM 2005-01, a randomised trial comparing </w:t>
      </w:r>
      <w:r w:rsidR="00971BFB">
        <w:rPr>
          <w:lang w:val="en-GB"/>
        </w:rPr>
        <w:t>this regimen</w:t>
      </w:r>
      <w:r w:rsidR="0015280C" w:rsidRPr="00E97972">
        <w:rPr>
          <w:lang w:val="en-GB"/>
        </w:rPr>
        <w:t xml:space="preserve"> with vincristine plus doxorubicin </w:t>
      </w:r>
      <w:r w:rsidR="00BA225D">
        <w:rPr>
          <w:lang w:val="en-GB"/>
        </w:rPr>
        <w:t>and</w:t>
      </w:r>
      <w:r w:rsidR="00BA225D" w:rsidRPr="00E97972">
        <w:rPr>
          <w:lang w:val="en-GB"/>
        </w:rPr>
        <w:t xml:space="preserve"> </w:t>
      </w:r>
      <w:r w:rsidR="0015280C" w:rsidRPr="00E97972">
        <w:rPr>
          <w:lang w:val="en-GB"/>
        </w:rPr>
        <w:t xml:space="preserve">dexamethasone. The </w:t>
      </w:r>
      <w:r w:rsidR="00E05D10" w:rsidRPr="00E97972">
        <w:rPr>
          <w:lang w:val="en-GB"/>
        </w:rPr>
        <w:t xml:space="preserve">company adjusted the </w:t>
      </w:r>
      <w:r w:rsidR="0015280C" w:rsidRPr="00E97972">
        <w:rPr>
          <w:lang w:val="en-GB"/>
        </w:rPr>
        <w:t xml:space="preserve">patient-level data from </w:t>
      </w:r>
      <w:r w:rsidR="0015280C" w:rsidRPr="00E97972">
        <w:rPr>
          <w:lang w:val="en-GB"/>
        </w:rPr>
        <w:lastRenderedPageBreak/>
        <w:t xml:space="preserve">CASSIOPEIA to match the study-level baseline patient characteristics from GMMG-MM5 and IFM 2005-01. The comparisons were unanchored because there was no common comparator between the studies. </w:t>
      </w:r>
      <w:r w:rsidR="0014661A" w:rsidRPr="00E97972">
        <w:rPr>
          <w:lang w:val="en-GB"/>
        </w:rPr>
        <w:t>T</w:t>
      </w:r>
      <w:r w:rsidR="00E05D10" w:rsidRPr="00E97972">
        <w:rPr>
          <w:lang w:val="en-GB"/>
        </w:rPr>
        <w:t>he company did not use t</w:t>
      </w:r>
      <w:r w:rsidR="00D62BE9" w:rsidRPr="00E97972">
        <w:rPr>
          <w:lang w:val="en-GB"/>
        </w:rPr>
        <w:t xml:space="preserve">he results of the indirect comparisons to inform the economic model directly, but </w:t>
      </w:r>
      <w:r w:rsidR="00F52328" w:rsidRPr="00E97972">
        <w:rPr>
          <w:lang w:val="en-GB"/>
        </w:rPr>
        <w:t xml:space="preserve">rather </w:t>
      </w:r>
      <w:r w:rsidR="00D62BE9" w:rsidRPr="00E97972">
        <w:rPr>
          <w:lang w:val="en-GB"/>
        </w:rPr>
        <w:t xml:space="preserve">to support </w:t>
      </w:r>
      <w:r w:rsidR="00140B15" w:rsidRPr="00E97972">
        <w:rPr>
          <w:lang w:val="en-GB"/>
        </w:rPr>
        <w:t>the omission of some comparators from the model</w:t>
      </w:r>
      <w:r w:rsidR="00D62BE9" w:rsidRPr="00E97972">
        <w:rPr>
          <w:lang w:val="en-GB"/>
        </w:rPr>
        <w:t xml:space="preserve"> (see </w:t>
      </w:r>
      <w:hyperlink w:anchor="_Bortezomib_plus_thalidomide" w:history="1">
        <w:r w:rsidR="00D62BE9" w:rsidRPr="00E97972">
          <w:rPr>
            <w:rStyle w:val="Hyperlink"/>
            <w:lang w:val="en-GB"/>
          </w:rPr>
          <w:t xml:space="preserve">section </w:t>
        </w:r>
        <w:r w:rsidR="00532A45" w:rsidRPr="00E97972">
          <w:rPr>
            <w:rStyle w:val="Hyperlink"/>
            <w:lang w:val="en-GB"/>
          </w:rPr>
          <w:t>3.2</w:t>
        </w:r>
      </w:hyperlink>
      <w:r w:rsidR="00D62BE9" w:rsidRPr="00E97972">
        <w:rPr>
          <w:lang w:val="en-GB"/>
        </w:rPr>
        <w:t xml:space="preserve">). </w:t>
      </w:r>
      <w:r w:rsidRPr="00E97972">
        <w:rPr>
          <w:lang w:val="en-GB"/>
        </w:rPr>
        <w:t xml:space="preserve">The ERG </w:t>
      </w:r>
      <w:r w:rsidR="00D62BE9" w:rsidRPr="00E97972">
        <w:rPr>
          <w:lang w:val="en-GB"/>
        </w:rPr>
        <w:t>could not</w:t>
      </w:r>
      <w:r w:rsidRPr="00E97972">
        <w:rPr>
          <w:lang w:val="en-GB"/>
        </w:rPr>
        <w:t xml:space="preserve"> verify that the </w:t>
      </w:r>
      <w:r w:rsidR="006C4F1D" w:rsidRPr="00E97972">
        <w:rPr>
          <w:lang w:val="en-GB"/>
        </w:rPr>
        <w:t xml:space="preserve">company had correctly implemented the </w:t>
      </w:r>
      <w:r w:rsidRPr="00E97972">
        <w:rPr>
          <w:lang w:val="en-GB"/>
        </w:rPr>
        <w:t>matching</w:t>
      </w:r>
      <w:r w:rsidR="0015280C" w:rsidRPr="00E97972">
        <w:rPr>
          <w:lang w:val="en-GB"/>
        </w:rPr>
        <w:t>-</w:t>
      </w:r>
      <w:r w:rsidRPr="00E97972">
        <w:rPr>
          <w:lang w:val="en-GB"/>
        </w:rPr>
        <w:t>adjusted indirect comparisons</w:t>
      </w:r>
      <w:r w:rsidR="00140B15" w:rsidRPr="00E97972">
        <w:rPr>
          <w:lang w:val="en-GB"/>
        </w:rPr>
        <w:t>,</w:t>
      </w:r>
      <w:r w:rsidRPr="00E97972">
        <w:rPr>
          <w:lang w:val="en-GB"/>
        </w:rPr>
        <w:t xml:space="preserve"> nor check the results because </w:t>
      </w:r>
      <w:r w:rsidR="006C4F1D" w:rsidRPr="00E97972">
        <w:rPr>
          <w:lang w:val="en-GB"/>
        </w:rPr>
        <w:t xml:space="preserve">the company </w:t>
      </w:r>
      <w:r w:rsidR="001348A2">
        <w:rPr>
          <w:lang w:val="en-GB"/>
        </w:rPr>
        <w:t>could</w:t>
      </w:r>
      <w:r w:rsidR="001348A2" w:rsidRPr="00E97972">
        <w:rPr>
          <w:lang w:val="en-GB"/>
        </w:rPr>
        <w:t xml:space="preserve"> </w:t>
      </w:r>
      <w:r w:rsidR="006C4F1D" w:rsidRPr="00E97972">
        <w:rPr>
          <w:lang w:val="en-GB"/>
        </w:rPr>
        <w:t xml:space="preserve">not provide the ERG with </w:t>
      </w:r>
      <w:r w:rsidRPr="00E97972">
        <w:rPr>
          <w:lang w:val="en-GB"/>
        </w:rPr>
        <w:t xml:space="preserve">individual patient data </w:t>
      </w:r>
      <w:r w:rsidR="0015280C" w:rsidRPr="00E97972">
        <w:rPr>
          <w:lang w:val="en-GB"/>
        </w:rPr>
        <w:t>from CASSIOPEIA</w:t>
      </w:r>
      <w:r w:rsidRPr="00E97972">
        <w:rPr>
          <w:lang w:val="en-GB"/>
        </w:rPr>
        <w:t xml:space="preserve">. </w:t>
      </w:r>
      <w:r w:rsidR="006C4F1D" w:rsidRPr="00E97972">
        <w:rPr>
          <w:lang w:val="en-GB"/>
        </w:rPr>
        <w:t xml:space="preserve">The ERG </w:t>
      </w:r>
      <w:r w:rsidRPr="00E97972">
        <w:rPr>
          <w:lang w:val="en-GB"/>
        </w:rPr>
        <w:t xml:space="preserve">added that it would have preferred to </w:t>
      </w:r>
      <w:r w:rsidR="00240DB1">
        <w:rPr>
          <w:lang w:val="en-GB"/>
        </w:rPr>
        <w:t>see</w:t>
      </w:r>
      <w:r w:rsidRPr="00E97972">
        <w:rPr>
          <w:lang w:val="en-GB"/>
        </w:rPr>
        <w:t xml:space="preserve"> a scenario analysis using a simulated treatment comparison. </w:t>
      </w:r>
      <w:r w:rsidR="00971BFB">
        <w:rPr>
          <w:lang w:val="en-GB"/>
        </w:rPr>
        <w:t xml:space="preserve">The committee understood that there were large reductions in effective sample size for the comparison with </w:t>
      </w:r>
      <w:r w:rsidR="00971BFB" w:rsidRPr="00971BFB">
        <w:rPr>
          <w:lang w:val="en-GB"/>
        </w:rPr>
        <w:t xml:space="preserve">bortezomib plus cyclophosphamide </w:t>
      </w:r>
      <w:r w:rsidR="00AC221D">
        <w:rPr>
          <w:lang w:val="en-GB"/>
        </w:rPr>
        <w:t>and</w:t>
      </w:r>
      <w:r w:rsidR="00AC221D" w:rsidRPr="00971BFB">
        <w:rPr>
          <w:lang w:val="en-GB"/>
        </w:rPr>
        <w:t xml:space="preserve"> </w:t>
      </w:r>
      <w:r w:rsidR="00971BFB" w:rsidRPr="00971BFB">
        <w:rPr>
          <w:lang w:val="en-GB"/>
        </w:rPr>
        <w:t>dexamethasone</w:t>
      </w:r>
      <w:r w:rsidR="00971BFB">
        <w:rPr>
          <w:lang w:val="en-GB"/>
        </w:rPr>
        <w:t xml:space="preserve">, </w:t>
      </w:r>
      <w:r w:rsidR="009B4BF5">
        <w:rPr>
          <w:lang w:val="en-GB"/>
        </w:rPr>
        <w:t xml:space="preserve">and that adjusting for more covariates would further reduce </w:t>
      </w:r>
      <w:r w:rsidR="00240DB1">
        <w:rPr>
          <w:lang w:val="en-GB"/>
        </w:rPr>
        <w:t xml:space="preserve">the </w:t>
      </w:r>
      <w:r w:rsidR="009B4BF5">
        <w:rPr>
          <w:lang w:val="en-GB"/>
        </w:rPr>
        <w:t xml:space="preserve">effective sample size. </w:t>
      </w:r>
      <w:r w:rsidRPr="009B4BF5">
        <w:rPr>
          <w:lang w:val="en-GB"/>
        </w:rPr>
        <w:t xml:space="preserve">The committee </w:t>
      </w:r>
      <w:r w:rsidR="009B4BF5">
        <w:rPr>
          <w:lang w:val="en-GB"/>
        </w:rPr>
        <w:t xml:space="preserve">also </w:t>
      </w:r>
      <w:r w:rsidR="00D62BE9" w:rsidRPr="009B4BF5">
        <w:rPr>
          <w:lang w:val="en-GB"/>
        </w:rPr>
        <w:t>noted that the comparison of bortezomib plus thalidomide</w:t>
      </w:r>
      <w:r w:rsidR="000C5DF2" w:rsidRPr="009B4BF5">
        <w:rPr>
          <w:lang w:val="en-GB"/>
        </w:rPr>
        <w:t xml:space="preserve"> </w:t>
      </w:r>
      <w:r w:rsidR="00FA22A5">
        <w:rPr>
          <w:lang w:val="en-GB"/>
        </w:rPr>
        <w:t>and</w:t>
      </w:r>
      <w:r w:rsidR="00FA22A5" w:rsidRPr="009B4BF5">
        <w:rPr>
          <w:lang w:val="en-GB"/>
        </w:rPr>
        <w:t xml:space="preserve"> </w:t>
      </w:r>
      <w:r w:rsidR="000C5DF2" w:rsidRPr="009B4BF5">
        <w:rPr>
          <w:lang w:val="en-GB"/>
        </w:rPr>
        <w:t xml:space="preserve">dexamethasone </w:t>
      </w:r>
      <w:r w:rsidR="00FA22A5">
        <w:rPr>
          <w:lang w:val="en-GB"/>
        </w:rPr>
        <w:t>compared with</w:t>
      </w:r>
      <w:r w:rsidR="00FA22A5" w:rsidRPr="009B4BF5">
        <w:rPr>
          <w:lang w:val="en-GB"/>
        </w:rPr>
        <w:t xml:space="preserve"> </w:t>
      </w:r>
      <w:r w:rsidR="000C5DF2" w:rsidRPr="009B4BF5">
        <w:rPr>
          <w:lang w:val="en-GB"/>
        </w:rPr>
        <w:t xml:space="preserve">bortezomib plus cyclophosphamide </w:t>
      </w:r>
      <w:r w:rsidR="00FA22A5">
        <w:rPr>
          <w:lang w:val="en-GB"/>
        </w:rPr>
        <w:t>and</w:t>
      </w:r>
      <w:r w:rsidR="00FA22A5" w:rsidRPr="009B4BF5">
        <w:rPr>
          <w:lang w:val="en-GB"/>
        </w:rPr>
        <w:t xml:space="preserve"> </w:t>
      </w:r>
      <w:r w:rsidR="000C5DF2" w:rsidRPr="009B4BF5">
        <w:rPr>
          <w:lang w:val="en-GB"/>
        </w:rPr>
        <w:t xml:space="preserve">dexamethasone had wide confidence intervals. It </w:t>
      </w:r>
      <w:r w:rsidRPr="009B4BF5">
        <w:rPr>
          <w:lang w:val="en-GB"/>
        </w:rPr>
        <w:t xml:space="preserve">concluded that </w:t>
      </w:r>
      <w:r w:rsidR="000C5DF2" w:rsidRPr="009B4BF5">
        <w:rPr>
          <w:lang w:val="en-GB"/>
        </w:rPr>
        <w:t xml:space="preserve">there was uncertainty </w:t>
      </w:r>
      <w:r w:rsidR="00FA22A5">
        <w:rPr>
          <w:lang w:val="en-GB"/>
        </w:rPr>
        <w:t>around</w:t>
      </w:r>
      <w:r w:rsidR="000C5DF2" w:rsidRPr="009B4BF5">
        <w:rPr>
          <w:lang w:val="en-GB"/>
        </w:rPr>
        <w:t xml:space="preserve"> whether the indirect comparisons supported the clinical expert opinion on the relative efficacy of the different comparators (see </w:t>
      </w:r>
      <w:hyperlink w:anchor="_Bortezomib_plus_thalidomide" w:history="1">
        <w:r w:rsidR="000C5DF2" w:rsidRPr="009B4BF5">
          <w:rPr>
            <w:rStyle w:val="Hyperlink"/>
            <w:lang w:val="en-GB"/>
          </w:rPr>
          <w:t xml:space="preserve">section </w:t>
        </w:r>
        <w:r w:rsidR="00532A45" w:rsidRPr="009B4BF5">
          <w:rPr>
            <w:rStyle w:val="Hyperlink"/>
            <w:lang w:val="en-GB"/>
          </w:rPr>
          <w:t>3.2</w:t>
        </w:r>
      </w:hyperlink>
      <w:r w:rsidR="000C5DF2" w:rsidRPr="009B4BF5">
        <w:rPr>
          <w:lang w:val="en-GB"/>
        </w:rPr>
        <w:t>).</w:t>
      </w:r>
      <w:bookmarkEnd w:id="7"/>
    </w:p>
    <w:p w14:paraId="5A9655EB" w14:textId="55137AB0" w:rsidR="00643582" w:rsidRDefault="001C491D" w:rsidP="00643582">
      <w:pPr>
        <w:pStyle w:val="Heading2"/>
      </w:pPr>
      <w:r>
        <w:t>The company’s economic model</w:t>
      </w:r>
    </w:p>
    <w:p w14:paraId="67569943" w14:textId="4C9DBFCA" w:rsidR="001C491D" w:rsidRDefault="00A35BCA" w:rsidP="001C491D">
      <w:pPr>
        <w:pStyle w:val="Heading3"/>
      </w:pPr>
      <w:bookmarkStart w:id="9" w:name="_It_is_unclear"/>
      <w:bookmarkEnd w:id="9"/>
      <w:r>
        <w:t xml:space="preserve">It is unclear </w:t>
      </w:r>
      <w:r w:rsidR="00FA22A5">
        <w:t xml:space="preserve">if </w:t>
      </w:r>
      <w:r>
        <w:t>t</w:t>
      </w:r>
      <w:r w:rsidR="001C491D">
        <w:t xml:space="preserve">he company’s </w:t>
      </w:r>
      <w:r w:rsidR="007C6CB5">
        <w:t>approach to</w:t>
      </w:r>
      <w:r>
        <w:t xml:space="preserve"> long-term survival modelling</w:t>
      </w:r>
      <w:r w:rsidR="007C6CB5">
        <w:t xml:space="preserve"> reduces uncertainty</w:t>
      </w:r>
    </w:p>
    <w:p w14:paraId="0235897A" w14:textId="4023E350" w:rsidR="000C5DF2" w:rsidRPr="000C5DF2" w:rsidRDefault="001C491D" w:rsidP="000C5DF2">
      <w:pPr>
        <w:pStyle w:val="Numberedlevel2text"/>
        <w:rPr>
          <w:lang w:val="en-GB"/>
        </w:rPr>
      </w:pPr>
      <w:r>
        <w:t xml:space="preserve">The company </w:t>
      </w:r>
      <w:r w:rsidR="001A67D6">
        <w:rPr>
          <w:lang w:val="en-GB"/>
        </w:rPr>
        <w:t xml:space="preserve">presented a partitioned survival model </w:t>
      </w:r>
      <w:r w:rsidR="009B4BF5">
        <w:rPr>
          <w:lang w:val="en-GB"/>
        </w:rPr>
        <w:t>comprising 3</w:t>
      </w:r>
      <w:r w:rsidR="00FA22A5">
        <w:rPr>
          <w:lang w:val="en-GB"/>
        </w:rPr>
        <w:t> </w:t>
      </w:r>
      <w:r w:rsidR="009B4BF5">
        <w:rPr>
          <w:lang w:val="en-GB"/>
        </w:rPr>
        <w:t xml:space="preserve">health states (pre-progression, progressive disease and death) </w:t>
      </w:r>
      <w:r w:rsidR="001A67D6">
        <w:rPr>
          <w:lang w:val="en-GB"/>
        </w:rPr>
        <w:t>to estimate the cost effectiveness of daratumumab plus bortezomib</w:t>
      </w:r>
      <w:r w:rsidR="00FA22A5">
        <w:rPr>
          <w:lang w:val="en-GB"/>
        </w:rPr>
        <w:t>,</w:t>
      </w:r>
      <w:r w:rsidR="001A67D6">
        <w:rPr>
          <w:lang w:val="en-GB"/>
        </w:rPr>
        <w:t xml:space="preserve"> thalidomide </w:t>
      </w:r>
      <w:r w:rsidR="00FA22A5">
        <w:rPr>
          <w:lang w:val="en-GB"/>
        </w:rPr>
        <w:t xml:space="preserve">and </w:t>
      </w:r>
      <w:r w:rsidR="001A67D6">
        <w:rPr>
          <w:lang w:val="en-GB"/>
        </w:rPr>
        <w:t xml:space="preserve">dexamethasone compared with </w:t>
      </w:r>
      <w:r w:rsidR="001A67D6" w:rsidRPr="001A67D6">
        <w:rPr>
          <w:lang w:val="en-GB"/>
        </w:rPr>
        <w:t xml:space="preserve">bortezomib plus thalidomide </w:t>
      </w:r>
      <w:r w:rsidR="00FA22A5">
        <w:rPr>
          <w:lang w:val="en-GB"/>
        </w:rPr>
        <w:t>and</w:t>
      </w:r>
      <w:r w:rsidR="00FA22A5" w:rsidRPr="001A67D6">
        <w:rPr>
          <w:lang w:val="en-GB"/>
        </w:rPr>
        <w:t xml:space="preserve"> </w:t>
      </w:r>
      <w:r w:rsidR="001A67D6" w:rsidRPr="001A67D6">
        <w:rPr>
          <w:lang w:val="en-GB"/>
        </w:rPr>
        <w:t>dexamethasone</w:t>
      </w:r>
      <w:r>
        <w:t xml:space="preserve">. </w:t>
      </w:r>
      <w:r w:rsidR="0069365C">
        <w:rPr>
          <w:lang w:val="en-GB"/>
        </w:rPr>
        <w:t>The company developed s</w:t>
      </w:r>
      <w:r w:rsidR="001A67D6">
        <w:rPr>
          <w:lang w:val="en-GB"/>
        </w:rPr>
        <w:t>urvival models to predict survival beyond the end of the CASSIOPEIA trial</w:t>
      </w:r>
      <w:r w:rsidR="0069365C">
        <w:rPr>
          <w:lang w:val="en-GB"/>
        </w:rPr>
        <w:t xml:space="preserve"> over </w:t>
      </w:r>
      <w:r w:rsidR="009B4BF5">
        <w:rPr>
          <w:lang w:val="en-GB"/>
        </w:rPr>
        <w:t>a lifetime time horizon</w:t>
      </w:r>
      <w:r w:rsidR="001A67D6">
        <w:rPr>
          <w:lang w:val="en-GB"/>
        </w:rPr>
        <w:t xml:space="preserve">. </w:t>
      </w:r>
      <w:r w:rsidR="00100D48">
        <w:t xml:space="preserve">The company explored </w:t>
      </w:r>
      <w:r w:rsidR="007918C7">
        <w:rPr>
          <w:lang w:val="en-GB"/>
        </w:rPr>
        <w:t xml:space="preserve">a conventional approach of </w:t>
      </w:r>
      <w:r w:rsidR="001A67D6">
        <w:rPr>
          <w:lang w:val="en-GB"/>
        </w:rPr>
        <w:t xml:space="preserve">fitting parametric models to the ITT data from CASSIOPEIA, but </w:t>
      </w:r>
      <w:r w:rsidR="00240DB1">
        <w:rPr>
          <w:lang w:val="en-GB"/>
        </w:rPr>
        <w:t>considered</w:t>
      </w:r>
      <w:r w:rsidR="001A67D6">
        <w:rPr>
          <w:lang w:val="en-GB"/>
        </w:rPr>
        <w:t xml:space="preserve"> that </w:t>
      </w:r>
      <w:r w:rsidR="001A67D6">
        <w:rPr>
          <w:lang w:val="en-GB"/>
        </w:rPr>
        <w:lastRenderedPageBreak/>
        <w:t xml:space="preserve">there was wide variation in the overall survival predicted by the different </w:t>
      </w:r>
      <w:r w:rsidR="00240DB1">
        <w:rPr>
          <w:lang w:val="en-GB"/>
        </w:rPr>
        <w:t>distributions</w:t>
      </w:r>
      <w:r w:rsidR="001A67D6">
        <w:rPr>
          <w:lang w:val="en-GB"/>
        </w:rPr>
        <w:t xml:space="preserve">. </w:t>
      </w:r>
      <w:r w:rsidR="00070379">
        <w:rPr>
          <w:lang w:val="en-GB"/>
        </w:rPr>
        <w:t xml:space="preserve">The company chose not to provide </w:t>
      </w:r>
      <w:r w:rsidR="001A67D6">
        <w:rPr>
          <w:lang w:val="en-GB"/>
        </w:rPr>
        <w:t>cost-effectiveness results</w:t>
      </w:r>
      <w:r w:rsidR="00070379">
        <w:rPr>
          <w:lang w:val="en-GB"/>
        </w:rPr>
        <w:t xml:space="preserve"> based on these analyses </w:t>
      </w:r>
      <w:r w:rsidR="00AC4BF9">
        <w:rPr>
          <w:lang w:val="en-GB"/>
        </w:rPr>
        <w:t xml:space="preserve">because </w:t>
      </w:r>
      <w:r w:rsidR="0014661A">
        <w:rPr>
          <w:lang w:val="en-GB"/>
        </w:rPr>
        <w:t xml:space="preserve">it </w:t>
      </w:r>
      <w:r w:rsidR="00240DB1">
        <w:rPr>
          <w:lang w:val="en-GB"/>
        </w:rPr>
        <w:t>believed</w:t>
      </w:r>
      <w:r w:rsidR="0014661A">
        <w:rPr>
          <w:lang w:val="en-GB"/>
        </w:rPr>
        <w:t xml:space="preserve"> that they </w:t>
      </w:r>
      <w:r w:rsidR="001A67D6">
        <w:rPr>
          <w:lang w:val="en-GB"/>
        </w:rPr>
        <w:t xml:space="preserve">would have been very uncertain. Instead, </w:t>
      </w:r>
      <w:r w:rsidR="000C5DF2">
        <w:rPr>
          <w:lang w:val="en-GB"/>
        </w:rPr>
        <w:t xml:space="preserve">the </w:t>
      </w:r>
      <w:r w:rsidR="000C5DF2" w:rsidRPr="000C5DF2">
        <w:rPr>
          <w:lang w:val="en-GB"/>
        </w:rPr>
        <w:t>company used the Kaplan</w:t>
      </w:r>
      <w:r w:rsidR="00AC4BF9">
        <w:rPr>
          <w:rFonts w:cs="Arial"/>
          <w:lang w:val="en-GB"/>
        </w:rPr>
        <w:t>–</w:t>
      </w:r>
      <w:r w:rsidR="000C5DF2" w:rsidRPr="000C5DF2">
        <w:rPr>
          <w:lang w:val="en-GB"/>
        </w:rPr>
        <w:t xml:space="preserve">Meier curves from CASSIOPEIA up to the landmark timepoint (see </w:t>
      </w:r>
      <w:hyperlink w:anchor="_The_company’s_censored" w:history="1">
        <w:r w:rsidR="000C5DF2" w:rsidRPr="00532A45">
          <w:rPr>
            <w:rStyle w:val="Hyperlink"/>
            <w:lang w:val="en-GB"/>
          </w:rPr>
          <w:t xml:space="preserve">section </w:t>
        </w:r>
        <w:r w:rsidR="00532A45" w:rsidRPr="00532A45">
          <w:rPr>
            <w:rStyle w:val="Hyperlink"/>
            <w:lang w:val="en-GB"/>
          </w:rPr>
          <w:t>3.6</w:t>
        </w:r>
      </w:hyperlink>
      <w:r w:rsidR="000C5DF2" w:rsidRPr="000C5DF2">
        <w:rPr>
          <w:lang w:val="en-GB"/>
        </w:rPr>
        <w:t xml:space="preserve">). </w:t>
      </w:r>
      <w:r w:rsidR="007C6CB5">
        <w:rPr>
          <w:lang w:val="en-GB"/>
        </w:rPr>
        <w:t>T</w:t>
      </w:r>
      <w:r w:rsidR="000C5DF2" w:rsidRPr="000C5DF2">
        <w:rPr>
          <w:lang w:val="en-GB"/>
        </w:rPr>
        <w:t xml:space="preserve">he </w:t>
      </w:r>
      <w:r w:rsidR="00070379">
        <w:rPr>
          <w:lang w:val="en-GB"/>
        </w:rPr>
        <w:t xml:space="preserve">company split the </w:t>
      </w:r>
      <w:r w:rsidR="000C5DF2" w:rsidRPr="000C5DF2">
        <w:rPr>
          <w:lang w:val="en-GB"/>
        </w:rPr>
        <w:t xml:space="preserve">people still alive </w:t>
      </w:r>
      <w:r w:rsidR="00070379">
        <w:rPr>
          <w:lang w:val="en-GB"/>
        </w:rPr>
        <w:t xml:space="preserve">at this </w:t>
      </w:r>
      <w:r w:rsidR="00240DB1">
        <w:rPr>
          <w:lang w:val="en-GB"/>
        </w:rPr>
        <w:t>time</w:t>
      </w:r>
      <w:r w:rsidR="00070379">
        <w:rPr>
          <w:lang w:val="en-GB"/>
        </w:rPr>
        <w:t xml:space="preserve">point </w:t>
      </w:r>
      <w:r w:rsidR="000C5DF2" w:rsidRPr="000C5DF2">
        <w:rPr>
          <w:lang w:val="en-GB"/>
        </w:rPr>
        <w:t>into those with and without minimal residual disease.</w:t>
      </w:r>
      <w:r w:rsidR="000C5DF2">
        <w:rPr>
          <w:lang w:val="en-GB"/>
        </w:rPr>
        <w:t xml:space="preserve"> </w:t>
      </w:r>
      <w:r w:rsidR="007C6CB5">
        <w:rPr>
          <w:lang w:val="en-GB"/>
        </w:rPr>
        <w:t>The company</w:t>
      </w:r>
      <w:r w:rsidR="000C5DF2">
        <w:rPr>
          <w:lang w:val="en-GB"/>
        </w:rPr>
        <w:t xml:space="preserve"> then </w:t>
      </w:r>
      <w:r w:rsidR="000C5DF2" w:rsidRPr="000C5DF2">
        <w:rPr>
          <w:lang w:val="en-GB"/>
        </w:rPr>
        <w:t xml:space="preserve">took a </w:t>
      </w:r>
      <w:r w:rsidR="00662BC0">
        <w:rPr>
          <w:lang w:val="en-GB"/>
        </w:rPr>
        <w:t>5</w:t>
      </w:r>
      <w:r w:rsidR="000C5DF2" w:rsidRPr="000C5DF2">
        <w:rPr>
          <w:lang w:val="en-GB"/>
        </w:rPr>
        <w:t>-step approach to modelling long-term progression-free</w:t>
      </w:r>
      <w:r w:rsidR="000941CB">
        <w:rPr>
          <w:lang w:val="en-GB"/>
        </w:rPr>
        <w:t xml:space="preserve"> survival and overall</w:t>
      </w:r>
      <w:r w:rsidR="000C5DF2" w:rsidRPr="000C5DF2">
        <w:rPr>
          <w:lang w:val="en-GB"/>
        </w:rPr>
        <w:t xml:space="preserve"> survival:</w:t>
      </w:r>
    </w:p>
    <w:p w14:paraId="27606406" w14:textId="476AE9CC" w:rsidR="000C5DF2" w:rsidRDefault="000C5DF2" w:rsidP="000C5DF2">
      <w:pPr>
        <w:pStyle w:val="Numberedlevel2text"/>
        <w:numPr>
          <w:ilvl w:val="3"/>
          <w:numId w:val="7"/>
        </w:numPr>
        <w:rPr>
          <w:lang w:val="en-GB"/>
        </w:rPr>
      </w:pPr>
      <w:r w:rsidRPr="000C5DF2">
        <w:rPr>
          <w:lang w:val="en-GB"/>
        </w:rPr>
        <w:t xml:space="preserve">For people with minimal residual disease who had bortezomib plus thalidomide </w:t>
      </w:r>
      <w:r w:rsidR="00AC4BF9">
        <w:rPr>
          <w:lang w:val="en-GB"/>
        </w:rPr>
        <w:t>and</w:t>
      </w:r>
      <w:r w:rsidR="00AC4BF9" w:rsidRPr="000C5DF2">
        <w:rPr>
          <w:lang w:val="en-GB"/>
        </w:rPr>
        <w:t xml:space="preserve"> </w:t>
      </w:r>
      <w:r w:rsidRPr="000C5DF2">
        <w:rPr>
          <w:lang w:val="en-GB"/>
        </w:rPr>
        <w:t xml:space="preserve">dexamethasone, the company fitted </w:t>
      </w:r>
      <w:r w:rsidR="009B4BF5">
        <w:rPr>
          <w:lang w:val="en-GB"/>
        </w:rPr>
        <w:t>separate</w:t>
      </w:r>
      <w:r w:rsidRPr="000C5DF2">
        <w:rPr>
          <w:lang w:val="en-GB"/>
        </w:rPr>
        <w:t xml:space="preserve"> parametric distribution</w:t>
      </w:r>
      <w:r w:rsidR="009B4BF5">
        <w:rPr>
          <w:lang w:val="en-GB"/>
        </w:rPr>
        <w:t>s</w:t>
      </w:r>
      <w:r w:rsidRPr="000C5DF2">
        <w:rPr>
          <w:lang w:val="en-GB"/>
        </w:rPr>
        <w:t xml:space="preserve"> to the </w:t>
      </w:r>
      <w:r w:rsidR="00AF3BA6">
        <w:rPr>
          <w:lang w:val="en-GB"/>
        </w:rPr>
        <w:t xml:space="preserve">post-landmark </w:t>
      </w:r>
      <w:r w:rsidRPr="000C5DF2">
        <w:rPr>
          <w:lang w:val="en-GB"/>
        </w:rPr>
        <w:t xml:space="preserve">data from CASSIOPEIA </w:t>
      </w:r>
      <w:r w:rsidR="00070379">
        <w:rPr>
          <w:lang w:val="en-GB"/>
        </w:rPr>
        <w:t xml:space="preserve">to </w:t>
      </w:r>
      <w:r w:rsidR="009B4BF5">
        <w:rPr>
          <w:lang w:val="en-GB"/>
        </w:rPr>
        <w:t xml:space="preserve">model </w:t>
      </w:r>
      <w:r w:rsidR="00070379">
        <w:rPr>
          <w:lang w:val="en-GB"/>
        </w:rPr>
        <w:t>progression</w:t>
      </w:r>
      <w:r w:rsidR="00AC4BF9">
        <w:rPr>
          <w:lang w:val="en-GB"/>
        </w:rPr>
        <w:noBreakHyphen/>
      </w:r>
      <w:r w:rsidR="00070379">
        <w:rPr>
          <w:lang w:val="en-GB"/>
        </w:rPr>
        <w:t xml:space="preserve">free </w:t>
      </w:r>
      <w:r w:rsidR="0009180E">
        <w:rPr>
          <w:lang w:val="en-GB"/>
        </w:rPr>
        <w:t xml:space="preserve">survival </w:t>
      </w:r>
      <w:r w:rsidR="009B4BF5">
        <w:rPr>
          <w:lang w:val="en-GB"/>
        </w:rPr>
        <w:t xml:space="preserve">and overall survival </w:t>
      </w:r>
      <w:r w:rsidRPr="000C5DF2">
        <w:rPr>
          <w:lang w:val="en-GB"/>
        </w:rPr>
        <w:t xml:space="preserve">(see </w:t>
      </w:r>
      <w:hyperlink w:anchor="_The_company’s_model" w:history="1">
        <w:r w:rsidRPr="00532A45">
          <w:rPr>
            <w:rStyle w:val="Hyperlink"/>
            <w:lang w:val="en-GB"/>
          </w:rPr>
          <w:t xml:space="preserve">section </w:t>
        </w:r>
        <w:r w:rsidR="00532A45" w:rsidRPr="00532A45">
          <w:rPr>
            <w:rStyle w:val="Hyperlink"/>
            <w:lang w:val="en-GB"/>
          </w:rPr>
          <w:t>3.13</w:t>
        </w:r>
      </w:hyperlink>
      <w:r w:rsidRPr="000C5DF2">
        <w:rPr>
          <w:lang w:val="en-GB"/>
        </w:rPr>
        <w:t>)</w:t>
      </w:r>
      <w:r w:rsidR="00AF3BA6">
        <w:rPr>
          <w:lang w:val="en-GB"/>
        </w:rPr>
        <w:t>.</w:t>
      </w:r>
    </w:p>
    <w:p w14:paraId="3B02CDB6" w14:textId="03A87E1D" w:rsidR="00070379" w:rsidRDefault="00AF3BA6" w:rsidP="000C5DF2">
      <w:pPr>
        <w:pStyle w:val="Numberedlevel2text"/>
        <w:numPr>
          <w:ilvl w:val="3"/>
          <w:numId w:val="7"/>
        </w:numPr>
        <w:rPr>
          <w:lang w:val="en-GB"/>
        </w:rPr>
      </w:pPr>
      <w:r w:rsidRPr="00AF3BA6">
        <w:rPr>
          <w:lang w:val="en-GB"/>
        </w:rPr>
        <w:t>The company did a meta</w:t>
      </w:r>
      <w:r w:rsidR="00AC4BF9">
        <w:rPr>
          <w:lang w:val="en-GB"/>
        </w:rPr>
        <w:noBreakHyphen/>
      </w:r>
      <w:r w:rsidRPr="00AF3BA6">
        <w:rPr>
          <w:lang w:val="en-GB"/>
        </w:rPr>
        <w:t xml:space="preserve">analysis </w:t>
      </w:r>
      <w:r w:rsidR="00070379">
        <w:rPr>
          <w:lang w:val="en-GB"/>
        </w:rPr>
        <w:t>to estimate</w:t>
      </w:r>
      <w:r w:rsidR="00070379" w:rsidRPr="00AF3BA6">
        <w:rPr>
          <w:lang w:val="en-GB"/>
        </w:rPr>
        <w:t xml:space="preserve"> </w:t>
      </w:r>
      <w:r w:rsidRPr="00AF3BA6">
        <w:rPr>
          <w:lang w:val="en-GB"/>
        </w:rPr>
        <w:t xml:space="preserve">the relationship between minimal residual disease and survival for people </w:t>
      </w:r>
      <w:r w:rsidR="00BE0AAA">
        <w:rPr>
          <w:lang w:val="en-GB"/>
        </w:rPr>
        <w:t xml:space="preserve">for whom </w:t>
      </w:r>
      <w:r w:rsidR="005874AB">
        <w:rPr>
          <w:lang w:val="en-GB"/>
        </w:rPr>
        <w:t xml:space="preserve">a </w:t>
      </w:r>
      <w:r w:rsidR="00BE0AAA">
        <w:rPr>
          <w:lang w:val="en-GB"/>
        </w:rPr>
        <w:t>stem cell transplant is suitable</w:t>
      </w:r>
      <w:r w:rsidRPr="00AF3BA6">
        <w:rPr>
          <w:lang w:val="en-GB"/>
        </w:rPr>
        <w:t xml:space="preserve"> having standard care (see </w:t>
      </w:r>
      <w:hyperlink w:anchor="_The_meta-analysis_on" w:history="1">
        <w:r w:rsidRPr="00532A45">
          <w:rPr>
            <w:rStyle w:val="Hyperlink"/>
            <w:lang w:val="en-GB"/>
          </w:rPr>
          <w:t xml:space="preserve">section </w:t>
        </w:r>
        <w:r w:rsidR="00532A45" w:rsidRPr="00532A45">
          <w:rPr>
            <w:rStyle w:val="Hyperlink"/>
            <w:lang w:val="en-GB"/>
          </w:rPr>
          <w:t>3.11</w:t>
        </w:r>
      </w:hyperlink>
      <w:r w:rsidRPr="00AF3BA6">
        <w:rPr>
          <w:lang w:val="en-GB"/>
        </w:rPr>
        <w:t>)</w:t>
      </w:r>
      <w:r>
        <w:rPr>
          <w:lang w:val="en-GB"/>
        </w:rPr>
        <w:t xml:space="preserve">. </w:t>
      </w:r>
      <w:r w:rsidRPr="00AF3BA6">
        <w:rPr>
          <w:lang w:val="en-GB"/>
        </w:rPr>
        <w:t xml:space="preserve">From this, </w:t>
      </w:r>
      <w:r w:rsidR="00070379">
        <w:rPr>
          <w:lang w:val="en-GB"/>
        </w:rPr>
        <w:t xml:space="preserve">it calculated 2 </w:t>
      </w:r>
      <w:r w:rsidRPr="00AF3BA6">
        <w:rPr>
          <w:lang w:val="en-GB"/>
        </w:rPr>
        <w:t>hazard ratios</w:t>
      </w:r>
      <w:r w:rsidR="00912CD9">
        <w:rPr>
          <w:lang w:val="en-GB"/>
        </w:rPr>
        <w:t>. Th</w:t>
      </w:r>
      <w:r w:rsidR="000500D5">
        <w:rPr>
          <w:lang w:val="en-GB"/>
        </w:rPr>
        <w:t>e</w:t>
      </w:r>
      <w:r w:rsidR="00912CD9">
        <w:rPr>
          <w:lang w:val="en-GB"/>
        </w:rPr>
        <w:t xml:space="preserve"> first</w:t>
      </w:r>
      <w:r w:rsidR="00070379">
        <w:rPr>
          <w:lang w:val="en-GB"/>
        </w:rPr>
        <w:t xml:space="preserve"> reflect</w:t>
      </w:r>
      <w:r w:rsidR="00912CD9">
        <w:rPr>
          <w:lang w:val="en-GB"/>
        </w:rPr>
        <w:t>ed</w:t>
      </w:r>
      <w:r w:rsidR="00070379">
        <w:rPr>
          <w:lang w:val="en-GB"/>
        </w:rPr>
        <w:t xml:space="preserve"> the association between minimal residual disease </w:t>
      </w:r>
      <w:r w:rsidR="00912CD9">
        <w:rPr>
          <w:lang w:val="en-GB"/>
        </w:rPr>
        <w:t>status</w:t>
      </w:r>
      <w:r w:rsidR="00070379">
        <w:rPr>
          <w:lang w:val="en-GB"/>
        </w:rPr>
        <w:t xml:space="preserve"> and </w:t>
      </w:r>
      <w:r w:rsidRPr="00AF3BA6">
        <w:rPr>
          <w:lang w:val="en-GB"/>
        </w:rPr>
        <w:t>overall survival</w:t>
      </w:r>
      <w:r w:rsidR="00912CD9">
        <w:rPr>
          <w:lang w:val="en-GB"/>
        </w:rPr>
        <w:t>,</w:t>
      </w:r>
      <w:r w:rsidRPr="00AF3BA6">
        <w:rPr>
          <w:lang w:val="en-GB"/>
        </w:rPr>
        <w:t xml:space="preserve"> and </w:t>
      </w:r>
      <w:r w:rsidR="00070379">
        <w:rPr>
          <w:lang w:val="en-GB"/>
        </w:rPr>
        <w:t xml:space="preserve">the </w:t>
      </w:r>
      <w:r w:rsidR="00912CD9">
        <w:rPr>
          <w:lang w:val="en-GB"/>
        </w:rPr>
        <w:t xml:space="preserve">second the association between minimal residual status and </w:t>
      </w:r>
      <w:r w:rsidRPr="00AF3BA6">
        <w:rPr>
          <w:lang w:val="en-GB"/>
        </w:rPr>
        <w:t>progression-free survival.</w:t>
      </w:r>
    </w:p>
    <w:p w14:paraId="38058F42" w14:textId="39E042FB" w:rsidR="00912CD9" w:rsidRDefault="00AF3BA6" w:rsidP="00912CD9">
      <w:pPr>
        <w:pStyle w:val="Numberedlevel2text"/>
        <w:numPr>
          <w:ilvl w:val="3"/>
          <w:numId w:val="7"/>
        </w:numPr>
        <w:rPr>
          <w:lang w:val="en-GB"/>
        </w:rPr>
      </w:pPr>
      <w:r w:rsidRPr="00AF3BA6">
        <w:rPr>
          <w:lang w:val="en-GB"/>
        </w:rPr>
        <w:t xml:space="preserve">The company applied the hazard ratios </w:t>
      </w:r>
      <w:r w:rsidR="00912CD9">
        <w:rPr>
          <w:lang w:val="en-GB"/>
        </w:rPr>
        <w:t>from step</w:t>
      </w:r>
      <w:r w:rsidR="00AC4BF9">
        <w:rPr>
          <w:lang w:val="en-GB"/>
        </w:rPr>
        <w:t> </w:t>
      </w:r>
      <w:r w:rsidR="00912CD9">
        <w:rPr>
          <w:lang w:val="en-GB"/>
        </w:rPr>
        <w:t xml:space="preserve">2 </w:t>
      </w:r>
      <w:r w:rsidRPr="00AF3BA6">
        <w:rPr>
          <w:lang w:val="en-GB"/>
        </w:rPr>
        <w:t xml:space="preserve">to the parametric curves for people with minimal residual disease who had </w:t>
      </w:r>
      <w:r w:rsidR="00BE0AAA" w:rsidRPr="00BE0AAA">
        <w:rPr>
          <w:lang w:val="en-GB"/>
        </w:rPr>
        <w:t xml:space="preserve">bortezomib plus thalidomide </w:t>
      </w:r>
      <w:r w:rsidR="00AC4BF9">
        <w:rPr>
          <w:lang w:val="en-GB"/>
        </w:rPr>
        <w:t>and</w:t>
      </w:r>
      <w:r w:rsidR="00AC4BF9" w:rsidRPr="00BE0AAA">
        <w:rPr>
          <w:lang w:val="en-GB"/>
        </w:rPr>
        <w:t xml:space="preserve"> </w:t>
      </w:r>
      <w:r w:rsidR="00BE0AAA" w:rsidRPr="00BE0AAA">
        <w:rPr>
          <w:lang w:val="en-GB"/>
        </w:rPr>
        <w:t>dexamethasone</w:t>
      </w:r>
      <w:r w:rsidR="007C6CB5">
        <w:rPr>
          <w:lang w:val="en-GB"/>
        </w:rPr>
        <w:t xml:space="preserve"> (</w:t>
      </w:r>
      <w:r w:rsidR="00532A45">
        <w:rPr>
          <w:lang w:val="en-GB"/>
        </w:rPr>
        <w:t xml:space="preserve">from </w:t>
      </w:r>
      <w:r w:rsidR="007C6CB5">
        <w:rPr>
          <w:lang w:val="en-GB"/>
        </w:rPr>
        <w:t>step</w:t>
      </w:r>
      <w:r w:rsidR="00AC4BF9">
        <w:rPr>
          <w:lang w:val="en-GB"/>
        </w:rPr>
        <w:t> </w:t>
      </w:r>
      <w:r w:rsidR="007C6CB5">
        <w:rPr>
          <w:lang w:val="en-GB"/>
        </w:rPr>
        <w:t>1)</w:t>
      </w:r>
      <w:r w:rsidRPr="00AF3BA6">
        <w:rPr>
          <w:lang w:val="en-GB"/>
        </w:rPr>
        <w:t xml:space="preserve">, to calculate </w:t>
      </w:r>
      <w:r w:rsidR="00070379">
        <w:rPr>
          <w:lang w:val="en-GB"/>
        </w:rPr>
        <w:t>progression</w:t>
      </w:r>
      <w:r w:rsidR="00AC4BF9">
        <w:rPr>
          <w:lang w:val="en-GB"/>
        </w:rPr>
        <w:noBreakHyphen/>
      </w:r>
      <w:r w:rsidR="00070379">
        <w:rPr>
          <w:lang w:val="en-GB"/>
        </w:rPr>
        <w:t>free</w:t>
      </w:r>
      <w:r w:rsidR="00070379" w:rsidRPr="00AF3BA6">
        <w:rPr>
          <w:lang w:val="en-GB"/>
        </w:rPr>
        <w:t xml:space="preserve"> </w:t>
      </w:r>
      <w:r w:rsidRPr="00AF3BA6">
        <w:rPr>
          <w:lang w:val="en-GB"/>
        </w:rPr>
        <w:t xml:space="preserve">survival </w:t>
      </w:r>
      <w:r w:rsidR="0009180E">
        <w:rPr>
          <w:lang w:val="en-GB"/>
        </w:rPr>
        <w:t xml:space="preserve">and overall survival </w:t>
      </w:r>
      <w:r w:rsidRPr="00AF3BA6">
        <w:rPr>
          <w:lang w:val="en-GB"/>
        </w:rPr>
        <w:t>curves for people without minimal residual disease having the same treatment</w:t>
      </w:r>
      <w:r>
        <w:rPr>
          <w:lang w:val="en-GB"/>
        </w:rPr>
        <w:t>.</w:t>
      </w:r>
    </w:p>
    <w:p w14:paraId="6E439D9D" w14:textId="3ACC39FD" w:rsidR="00FD5986" w:rsidRDefault="00314157" w:rsidP="00FD5986">
      <w:pPr>
        <w:pStyle w:val="Numberedlevel2text"/>
        <w:numPr>
          <w:ilvl w:val="3"/>
          <w:numId w:val="7"/>
        </w:numPr>
        <w:rPr>
          <w:lang w:val="en-GB"/>
        </w:rPr>
      </w:pPr>
      <w:r>
        <w:rPr>
          <w:lang w:val="en-GB"/>
        </w:rPr>
        <w:t>T</w:t>
      </w:r>
      <w:r w:rsidR="00AF3BA6" w:rsidRPr="00912CD9">
        <w:rPr>
          <w:lang w:val="en-GB"/>
        </w:rPr>
        <w:t xml:space="preserve">he company applied the hazard ratios from the landmark analysis (see </w:t>
      </w:r>
      <w:hyperlink w:anchor="_The_company’s_censored" w:history="1">
        <w:r w:rsidR="00AF3BA6" w:rsidRPr="00912CD9">
          <w:rPr>
            <w:rStyle w:val="Hyperlink"/>
            <w:lang w:val="en-GB"/>
          </w:rPr>
          <w:t xml:space="preserve">section </w:t>
        </w:r>
        <w:r w:rsidR="00532A45" w:rsidRPr="00912CD9">
          <w:rPr>
            <w:rStyle w:val="Hyperlink"/>
            <w:lang w:val="en-GB"/>
          </w:rPr>
          <w:t>3.6</w:t>
        </w:r>
      </w:hyperlink>
      <w:r w:rsidR="00AF3BA6" w:rsidRPr="00912CD9">
        <w:rPr>
          <w:lang w:val="en-GB"/>
        </w:rPr>
        <w:t xml:space="preserve">) to the survival </w:t>
      </w:r>
      <w:r>
        <w:rPr>
          <w:lang w:val="en-GB"/>
        </w:rPr>
        <w:t>curves</w:t>
      </w:r>
      <w:r w:rsidR="00AF3BA6" w:rsidRPr="00912CD9">
        <w:rPr>
          <w:lang w:val="en-GB"/>
        </w:rPr>
        <w:t xml:space="preserve"> for people having </w:t>
      </w:r>
      <w:r w:rsidR="00BE0AAA" w:rsidRPr="00BE0AAA">
        <w:rPr>
          <w:lang w:val="en-GB"/>
        </w:rPr>
        <w:t xml:space="preserve">bortezomib plus thalidomide </w:t>
      </w:r>
      <w:r w:rsidR="00AC4BF9">
        <w:rPr>
          <w:lang w:val="en-GB"/>
        </w:rPr>
        <w:t>and</w:t>
      </w:r>
      <w:r w:rsidR="00AC4BF9" w:rsidRPr="00BE0AAA">
        <w:rPr>
          <w:lang w:val="en-GB"/>
        </w:rPr>
        <w:t xml:space="preserve"> </w:t>
      </w:r>
      <w:r w:rsidR="00BE0AAA" w:rsidRPr="00BE0AAA">
        <w:rPr>
          <w:lang w:val="en-GB"/>
        </w:rPr>
        <w:t>dexamethasone</w:t>
      </w:r>
      <w:r w:rsidR="00AF3BA6" w:rsidRPr="00912CD9">
        <w:rPr>
          <w:lang w:val="en-GB"/>
        </w:rPr>
        <w:t xml:space="preserve"> </w:t>
      </w:r>
      <w:r w:rsidR="007C6CB5" w:rsidRPr="00912CD9">
        <w:rPr>
          <w:lang w:val="en-GB"/>
        </w:rPr>
        <w:t>(</w:t>
      </w:r>
      <w:r w:rsidR="00532A45" w:rsidRPr="00912CD9">
        <w:rPr>
          <w:lang w:val="en-GB"/>
        </w:rPr>
        <w:t xml:space="preserve">from </w:t>
      </w:r>
      <w:r w:rsidR="007C6CB5" w:rsidRPr="00912CD9">
        <w:rPr>
          <w:lang w:val="en-GB"/>
        </w:rPr>
        <w:t>steps</w:t>
      </w:r>
      <w:r w:rsidR="00AC4BF9">
        <w:rPr>
          <w:lang w:val="en-GB"/>
        </w:rPr>
        <w:t> </w:t>
      </w:r>
      <w:r w:rsidR="007C6CB5" w:rsidRPr="00912CD9">
        <w:rPr>
          <w:lang w:val="en-GB"/>
        </w:rPr>
        <w:t xml:space="preserve">1 and </w:t>
      </w:r>
      <w:r w:rsidR="00FD5986">
        <w:rPr>
          <w:lang w:val="en-GB"/>
        </w:rPr>
        <w:t>3</w:t>
      </w:r>
      <w:r w:rsidR="007C6CB5" w:rsidRPr="00912CD9">
        <w:rPr>
          <w:lang w:val="en-GB"/>
        </w:rPr>
        <w:t xml:space="preserve">) </w:t>
      </w:r>
      <w:r w:rsidR="00AF3BA6" w:rsidRPr="00912CD9">
        <w:rPr>
          <w:lang w:val="en-GB"/>
        </w:rPr>
        <w:t xml:space="preserve">to </w:t>
      </w:r>
      <w:r w:rsidR="00AF3BA6" w:rsidRPr="00912CD9">
        <w:rPr>
          <w:lang w:val="en-GB"/>
        </w:rPr>
        <w:lastRenderedPageBreak/>
        <w:t xml:space="preserve">calculate the </w:t>
      </w:r>
      <w:r>
        <w:rPr>
          <w:lang w:val="en-GB"/>
        </w:rPr>
        <w:t>curves</w:t>
      </w:r>
      <w:r w:rsidR="00AF3BA6" w:rsidRPr="00912CD9">
        <w:rPr>
          <w:lang w:val="en-GB"/>
        </w:rPr>
        <w:t xml:space="preserve"> for people having daratumumab, split by minimal residual disease status</w:t>
      </w:r>
      <w:r w:rsidR="00662BC0" w:rsidRPr="00912CD9">
        <w:rPr>
          <w:lang w:val="en-GB"/>
        </w:rPr>
        <w:t>.</w:t>
      </w:r>
    </w:p>
    <w:p w14:paraId="2F635DF5" w14:textId="1EC0251F" w:rsidR="00FD5986" w:rsidRDefault="00650B3B" w:rsidP="00FD5986">
      <w:pPr>
        <w:pStyle w:val="Numberedlevel2text"/>
        <w:numPr>
          <w:ilvl w:val="3"/>
          <w:numId w:val="7"/>
        </w:numPr>
        <w:rPr>
          <w:lang w:val="en-GB"/>
        </w:rPr>
      </w:pPr>
      <w:r w:rsidRPr="00FD5986">
        <w:rPr>
          <w:lang w:val="en-GB"/>
        </w:rPr>
        <w:t xml:space="preserve">Finally, the </w:t>
      </w:r>
      <w:r w:rsidR="00662BC0" w:rsidRPr="00FD5986">
        <w:rPr>
          <w:lang w:val="en-GB"/>
        </w:rPr>
        <w:t xml:space="preserve">company weighted the </w:t>
      </w:r>
      <w:r w:rsidRPr="00FD5986">
        <w:rPr>
          <w:lang w:val="en-GB"/>
        </w:rPr>
        <w:t xml:space="preserve">survival curves for all patients in each arm </w:t>
      </w:r>
      <w:r w:rsidR="007665E8" w:rsidRPr="00FD5986">
        <w:rPr>
          <w:lang w:val="en-GB"/>
        </w:rPr>
        <w:t>split</w:t>
      </w:r>
      <w:r w:rsidRPr="00FD5986">
        <w:rPr>
          <w:lang w:val="en-GB"/>
        </w:rPr>
        <w:t xml:space="preserve"> by minimal residual disease status </w:t>
      </w:r>
      <w:r w:rsidR="00662BC0" w:rsidRPr="00FD5986">
        <w:rPr>
          <w:lang w:val="en-GB"/>
        </w:rPr>
        <w:t xml:space="preserve">based on </w:t>
      </w:r>
      <w:r w:rsidRPr="00FD5986">
        <w:rPr>
          <w:lang w:val="en-GB"/>
        </w:rPr>
        <w:t xml:space="preserve">the proportion of people </w:t>
      </w:r>
      <w:r w:rsidR="007665E8" w:rsidRPr="00FD5986">
        <w:rPr>
          <w:lang w:val="en-GB"/>
        </w:rPr>
        <w:t>with and without</w:t>
      </w:r>
      <w:r w:rsidRPr="00FD5986">
        <w:rPr>
          <w:lang w:val="en-GB"/>
        </w:rPr>
        <w:t xml:space="preserve"> minimal residual disease at the landmark timepoint.</w:t>
      </w:r>
    </w:p>
    <w:p w14:paraId="16580007" w14:textId="7CCC317D" w:rsidR="00A52D66" w:rsidRPr="00FD5986" w:rsidRDefault="008425D1" w:rsidP="00FD5986">
      <w:pPr>
        <w:pStyle w:val="Numberedlevel2text"/>
        <w:numPr>
          <w:ilvl w:val="0"/>
          <w:numId w:val="0"/>
        </w:numPr>
        <w:ind w:left="1134"/>
        <w:rPr>
          <w:lang w:val="en-GB"/>
        </w:rPr>
      </w:pPr>
      <w:r w:rsidRPr="00FD5986">
        <w:rPr>
          <w:lang w:val="en-GB"/>
        </w:rPr>
        <w:t xml:space="preserve">The ERG agreed with the company that the overall survival data from CASSIOPEIA was too </w:t>
      </w:r>
      <w:r w:rsidR="00202EC5" w:rsidRPr="00FD5986">
        <w:rPr>
          <w:lang w:val="en-GB"/>
        </w:rPr>
        <w:t xml:space="preserve">immature for parametric distributions fitted to the ITT data to be robust. </w:t>
      </w:r>
      <w:r w:rsidR="00AF3BA6" w:rsidRPr="00FD5986">
        <w:rPr>
          <w:lang w:val="en-GB"/>
        </w:rPr>
        <w:t>The committee noted the uncertainties associated with the different elements of the company’s approach</w:t>
      </w:r>
      <w:r w:rsidR="002F434B" w:rsidRPr="00FD5986">
        <w:rPr>
          <w:lang w:val="en-GB"/>
        </w:rPr>
        <w:t>;</w:t>
      </w:r>
      <w:r w:rsidR="00AF3BA6" w:rsidRPr="00FD5986">
        <w:rPr>
          <w:lang w:val="en-GB"/>
        </w:rPr>
        <w:t xml:space="preserve"> </w:t>
      </w:r>
      <w:r w:rsidR="002F434B" w:rsidRPr="00FD5986">
        <w:rPr>
          <w:lang w:val="en-GB"/>
        </w:rPr>
        <w:t>t</w:t>
      </w:r>
      <w:r w:rsidR="00AF3BA6" w:rsidRPr="00FD5986">
        <w:rPr>
          <w:lang w:val="en-GB"/>
        </w:rPr>
        <w:t>h</w:t>
      </w:r>
      <w:r w:rsidR="007C6CB5" w:rsidRPr="00FD5986">
        <w:rPr>
          <w:lang w:val="en-GB"/>
        </w:rPr>
        <w:t>ese</w:t>
      </w:r>
      <w:r w:rsidR="00AF3BA6" w:rsidRPr="00FD5986">
        <w:rPr>
          <w:lang w:val="en-GB"/>
        </w:rPr>
        <w:t xml:space="preserve"> included the choice of extrapolations for people with minimal residual disease having </w:t>
      </w:r>
      <w:r w:rsidR="00314157" w:rsidRPr="00314157">
        <w:rPr>
          <w:lang w:val="en-GB"/>
        </w:rPr>
        <w:t xml:space="preserve">bortezomib plus thalidomide </w:t>
      </w:r>
      <w:r w:rsidR="00AC4BF9">
        <w:rPr>
          <w:lang w:val="en-GB"/>
        </w:rPr>
        <w:t>and</w:t>
      </w:r>
      <w:r w:rsidR="00AC4BF9" w:rsidRPr="00314157">
        <w:rPr>
          <w:lang w:val="en-GB"/>
        </w:rPr>
        <w:t xml:space="preserve"> </w:t>
      </w:r>
      <w:r w:rsidR="00314157" w:rsidRPr="00314157">
        <w:rPr>
          <w:lang w:val="en-GB"/>
        </w:rPr>
        <w:t xml:space="preserve">dexamethasone </w:t>
      </w:r>
      <w:r w:rsidR="00AF3BA6" w:rsidRPr="00FD5986">
        <w:rPr>
          <w:lang w:val="en-GB"/>
        </w:rPr>
        <w:t xml:space="preserve">(see </w:t>
      </w:r>
      <w:hyperlink w:anchor="_The_company’s_model" w:history="1">
        <w:r w:rsidR="00AF3BA6" w:rsidRPr="00FD5986">
          <w:rPr>
            <w:rStyle w:val="Hyperlink"/>
            <w:lang w:val="en-GB"/>
          </w:rPr>
          <w:t xml:space="preserve">section </w:t>
        </w:r>
        <w:r w:rsidR="00532A45" w:rsidRPr="00FD5986">
          <w:rPr>
            <w:rStyle w:val="Hyperlink"/>
            <w:lang w:val="en-GB"/>
          </w:rPr>
          <w:t>3.13</w:t>
        </w:r>
      </w:hyperlink>
      <w:r w:rsidR="00AF3BA6" w:rsidRPr="00FD5986">
        <w:rPr>
          <w:lang w:val="en-GB"/>
        </w:rPr>
        <w:t xml:space="preserve">), and the results of the meta-analysis (see </w:t>
      </w:r>
      <w:hyperlink w:anchor="_The_meta-analysis_on" w:history="1">
        <w:r w:rsidR="00AF3BA6" w:rsidRPr="00FD5986">
          <w:rPr>
            <w:rStyle w:val="Hyperlink"/>
            <w:lang w:val="en-GB"/>
          </w:rPr>
          <w:t xml:space="preserve">section </w:t>
        </w:r>
        <w:r w:rsidR="00532A45" w:rsidRPr="00FD5986">
          <w:rPr>
            <w:rStyle w:val="Hyperlink"/>
            <w:lang w:val="en-GB"/>
          </w:rPr>
          <w:t>3.11</w:t>
        </w:r>
      </w:hyperlink>
      <w:r w:rsidR="00AF3BA6" w:rsidRPr="00FD5986">
        <w:rPr>
          <w:lang w:val="en-GB"/>
        </w:rPr>
        <w:t xml:space="preserve">) and landmark analysis (see </w:t>
      </w:r>
      <w:hyperlink w:anchor="_The_company’s_censored" w:history="1">
        <w:r w:rsidR="00AF3BA6" w:rsidRPr="00FD5986">
          <w:rPr>
            <w:rStyle w:val="Hyperlink"/>
            <w:lang w:val="en-GB"/>
          </w:rPr>
          <w:t xml:space="preserve">section </w:t>
        </w:r>
        <w:r w:rsidR="00532A45" w:rsidRPr="00FD5986">
          <w:rPr>
            <w:rStyle w:val="Hyperlink"/>
            <w:lang w:val="en-GB"/>
          </w:rPr>
          <w:t>3.6</w:t>
        </w:r>
      </w:hyperlink>
      <w:r w:rsidR="00AF3BA6" w:rsidRPr="00FD5986">
        <w:rPr>
          <w:lang w:val="en-GB"/>
        </w:rPr>
        <w:t xml:space="preserve">). The committee was unsure </w:t>
      </w:r>
      <w:r w:rsidR="00AC4BF9">
        <w:rPr>
          <w:lang w:val="en-GB"/>
        </w:rPr>
        <w:t>if</w:t>
      </w:r>
      <w:r w:rsidR="00AC4BF9" w:rsidRPr="00FD5986">
        <w:rPr>
          <w:lang w:val="en-GB"/>
        </w:rPr>
        <w:t xml:space="preserve"> </w:t>
      </w:r>
      <w:r w:rsidR="007C6CB5" w:rsidRPr="00FD5986">
        <w:rPr>
          <w:lang w:val="en-GB"/>
        </w:rPr>
        <w:t>the company’s approach to the long-term survival modelling reduced the uncertainty. It would have preferred that a scenario be provided using a conventional approach of fitting models directly to the ITT data from CASSIOPEIA.</w:t>
      </w:r>
    </w:p>
    <w:p w14:paraId="0577F645" w14:textId="40937D60" w:rsidR="00F64426" w:rsidRDefault="00F64426" w:rsidP="00F64426">
      <w:pPr>
        <w:pStyle w:val="Heading3"/>
      </w:pPr>
      <w:bookmarkStart w:id="10" w:name="_The_meta-analysis_on"/>
      <w:bookmarkEnd w:id="10"/>
      <w:r>
        <w:t xml:space="preserve">The meta-analysis on the relationship between minimal residual disease </w:t>
      </w:r>
      <w:r w:rsidR="001F1F3F">
        <w:t xml:space="preserve">status </w:t>
      </w:r>
      <w:r>
        <w:t>and survival is uncertain</w:t>
      </w:r>
      <w:r w:rsidR="008B45EB">
        <w:t xml:space="preserve">, but has minimal </w:t>
      </w:r>
      <w:r w:rsidR="00AC4BF9">
        <w:t xml:space="preserve">effect </w:t>
      </w:r>
      <w:r w:rsidR="008B45EB">
        <w:t>on results</w:t>
      </w:r>
    </w:p>
    <w:p w14:paraId="00A3B031" w14:textId="43BEE098" w:rsidR="004956DB" w:rsidRPr="001F1F3F" w:rsidRDefault="000B23D3" w:rsidP="001F1F3F">
      <w:pPr>
        <w:pStyle w:val="Numberedlevel2text"/>
        <w:rPr>
          <w:lang w:val="en-GB"/>
        </w:rPr>
      </w:pPr>
      <w:r>
        <w:t xml:space="preserve">To inform the survival </w:t>
      </w:r>
      <w:r w:rsidR="00034176">
        <w:rPr>
          <w:lang w:val="en-GB"/>
        </w:rPr>
        <w:t>curves</w:t>
      </w:r>
      <w:r>
        <w:t xml:space="preserve"> for people </w:t>
      </w:r>
      <w:r w:rsidR="004335B6">
        <w:t>without</w:t>
      </w:r>
      <w:r>
        <w:t xml:space="preserve"> minimal residual disease having bortezomib plus thalidomide </w:t>
      </w:r>
      <w:r w:rsidR="00AC4BF9">
        <w:rPr>
          <w:lang w:val="en-GB"/>
        </w:rPr>
        <w:t>and</w:t>
      </w:r>
      <w:r w:rsidR="00AC4BF9">
        <w:t xml:space="preserve"> </w:t>
      </w:r>
      <w:r>
        <w:t>dexamethasone, the company did a meta-analysis exploring the relationship between minimal residual disease and survival</w:t>
      </w:r>
      <w:r w:rsidR="004022B4">
        <w:rPr>
          <w:lang w:val="en-GB"/>
        </w:rPr>
        <w:t xml:space="preserve"> for people having </w:t>
      </w:r>
      <w:r w:rsidR="002B3A07">
        <w:rPr>
          <w:lang w:val="en-GB"/>
        </w:rPr>
        <w:t xml:space="preserve">any treatment representing </w:t>
      </w:r>
      <w:r w:rsidR="004022B4">
        <w:rPr>
          <w:lang w:val="en-GB"/>
        </w:rPr>
        <w:t>standard care</w:t>
      </w:r>
      <w:r>
        <w:t xml:space="preserve">. The results showed </w:t>
      </w:r>
      <w:r w:rsidR="004335B6">
        <w:t>improved</w:t>
      </w:r>
      <w:r>
        <w:t xml:space="preserve"> progression-free </w:t>
      </w:r>
      <w:r w:rsidR="00416F9E">
        <w:rPr>
          <w:lang w:val="en-GB"/>
        </w:rPr>
        <w:t xml:space="preserve">survival </w:t>
      </w:r>
      <w:r>
        <w:t xml:space="preserve">and overall survival </w:t>
      </w:r>
      <w:r w:rsidR="004956DB">
        <w:t>in</w:t>
      </w:r>
      <w:r>
        <w:t xml:space="preserve"> people with</w:t>
      </w:r>
      <w:r w:rsidR="004335B6">
        <w:t>out</w:t>
      </w:r>
      <w:r>
        <w:t xml:space="preserve"> minimal residual disease</w:t>
      </w:r>
      <w:r w:rsidR="004335B6">
        <w:t xml:space="preserve"> compared with th</w:t>
      </w:r>
      <w:r w:rsidR="00416F9E">
        <w:rPr>
          <w:lang w:val="en-GB"/>
        </w:rPr>
        <w:t>ose</w:t>
      </w:r>
      <w:r w:rsidR="004335B6">
        <w:t xml:space="preserve"> with minimal residual disease</w:t>
      </w:r>
      <w:r>
        <w:t xml:space="preserve">. </w:t>
      </w:r>
      <w:r w:rsidR="00853827">
        <w:t xml:space="preserve">The </w:t>
      </w:r>
      <w:r w:rsidR="001F1F3F">
        <w:rPr>
          <w:lang w:val="en-GB"/>
        </w:rPr>
        <w:t xml:space="preserve">company modelled this using hazard ratios, which </w:t>
      </w:r>
      <w:r w:rsidR="00AC4BF9">
        <w:rPr>
          <w:lang w:val="en-GB"/>
        </w:rPr>
        <w:t>needed</w:t>
      </w:r>
      <w:r w:rsidR="001F1F3F">
        <w:t xml:space="preserve"> the </w:t>
      </w:r>
      <w:r w:rsidR="001F1F3F" w:rsidRPr="001F1F3F">
        <w:t>proportional hazards assumption</w:t>
      </w:r>
      <w:r w:rsidR="001F1F3F">
        <w:t xml:space="preserve"> </w:t>
      </w:r>
      <w:r w:rsidR="009D02D2" w:rsidRPr="009D02D2">
        <w:t xml:space="preserve">(that is, the relative risk of an event was fixed irrespective of time) </w:t>
      </w:r>
      <w:r w:rsidR="00AC4BF9">
        <w:rPr>
          <w:lang w:val="en-GB"/>
        </w:rPr>
        <w:t>to be</w:t>
      </w:r>
      <w:r w:rsidR="00AC4BF9">
        <w:t xml:space="preserve"> </w:t>
      </w:r>
      <w:r w:rsidR="001F1F3F">
        <w:t>met</w:t>
      </w:r>
      <w:r w:rsidR="001F1F3F">
        <w:rPr>
          <w:lang w:val="en-GB"/>
        </w:rPr>
        <w:t xml:space="preserve">. The ERG considered that </w:t>
      </w:r>
      <w:r w:rsidR="00853827" w:rsidRPr="001F1F3F">
        <w:rPr>
          <w:lang w:val="en-GB"/>
        </w:rPr>
        <w:t xml:space="preserve">there was some uncertainty </w:t>
      </w:r>
      <w:r w:rsidR="00682DEE" w:rsidRPr="001F1F3F">
        <w:rPr>
          <w:lang w:val="en-GB"/>
        </w:rPr>
        <w:t>with</w:t>
      </w:r>
      <w:r w:rsidR="00853827" w:rsidRPr="001F1F3F">
        <w:rPr>
          <w:lang w:val="en-GB"/>
        </w:rPr>
        <w:t xml:space="preserve"> the hazard ratios from the meta-analysis</w:t>
      </w:r>
      <w:r w:rsidR="002B3A07">
        <w:rPr>
          <w:lang w:val="en-GB"/>
        </w:rPr>
        <w:t xml:space="preserve">. This was </w:t>
      </w:r>
      <w:r w:rsidR="00055658">
        <w:rPr>
          <w:lang w:val="en-GB"/>
        </w:rPr>
        <w:t xml:space="preserve">because </w:t>
      </w:r>
      <w:r w:rsidR="00853827" w:rsidRPr="001F1F3F">
        <w:rPr>
          <w:lang w:val="en-GB"/>
        </w:rPr>
        <w:t xml:space="preserve">the </w:t>
      </w:r>
      <w:r w:rsidR="002B3A07">
        <w:rPr>
          <w:lang w:val="en-GB"/>
        </w:rPr>
        <w:t xml:space="preserve">included </w:t>
      </w:r>
      <w:r w:rsidR="002B3A07">
        <w:rPr>
          <w:lang w:val="en-GB"/>
        </w:rPr>
        <w:lastRenderedPageBreak/>
        <w:t>studies</w:t>
      </w:r>
      <w:r w:rsidR="00055658">
        <w:rPr>
          <w:lang w:val="en-GB"/>
        </w:rPr>
        <w:t xml:space="preserve"> differed with respect to </w:t>
      </w:r>
      <w:r w:rsidR="002B3A07">
        <w:rPr>
          <w:lang w:val="en-GB"/>
        </w:rPr>
        <w:t>baseline International Staging System scores (which signify prognosis), as well as the treatments representing standard care</w:t>
      </w:r>
      <w:r w:rsidR="00853827" w:rsidRPr="001F1F3F">
        <w:rPr>
          <w:lang w:val="en-GB"/>
        </w:rPr>
        <w:t xml:space="preserve">. </w:t>
      </w:r>
      <w:r w:rsidR="002B3A07">
        <w:rPr>
          <w:lang w:val="en-GB"/>
        </w:rPr>
        <w:t>The ERG</w:t>
      </w:r>
      <w:r w:rsidR="001F1F3F">
        <w:rPr>
          <w:lang w:val="en-GB"/>
        </w:rPr>
        <w:t xml:space="preserve"> also</w:t>
      </w:r>
      <w:r w:rsidR="00853827" w:rsidRPr="001F1F3F">
        <w:rPr>
          <w:lang w:val="en-GB"/>
        </w:rPr>
        <w:t xml:space="preserve"> observed that the assessments of progression-free </w:t>
      </w:r>
      <w:r w:rsidR="00416F9E">
        <w:rPr>
          <w:lang w:val="en-GB"/>
        </w:rPr>
        <w:t xml:space="preserve">survival </w:t>
      </w:r>
      <w:r w:rsidR="00853827" w:rsidRPr="001F1F3F">
        <w:rPr>
          <w:lang w:val="en-GB"/>
        </w:rPr>
        <w:t>and overall survival started at different time</w:t>
      </w:r>
      <w:r w:rsidR="007A54A6" w:rsidRPr="001F1F3F">
        <w:rPr>
          <w:lang w:val="en-GB"/>
        </w:rPr>
        <w:t xml:space="preserve">points across the studies. </w:t>
      </w:r>
      <w:r w:rsidR="001F1F3F" w:rsidRPr="001F1F3F">
        <w:rPr>
          <w:lang w:val="en-GB"/>
        </w:rPr>
        <w:t xml:space="preserve">However, the company commented that no events were reported across the studies </w:t>
      </w:r>
      <w:r w:rsidR="00AC4BF9">
        <w:rPr>
          <w:lang w:val="en-GB"/>
        </w:rPr>
        <w:t>before</w:t>
      </w:r>
      <w:r w:rsidR="001F1F3F" w:rsidRPr="001F1F3F">
        <w:rPr>
          <w:lang w:val="en-GB"/>
        </w:rPr>
        <w:t xml:space="preserve"> the start of assessment, so this should not have </w:t>
      </w:r>
      <w:r w:rsidR="00AC4BF9">
        <w:rPr>
          <w:lang w:val="en-GB"/>
        </w:rPr>
        <w:t>affected</w:t>
      </w:r>
      <w:r w:rsidR="00AC4BF9" w:rsidRPr="001F1F3F">
        <w:rPr>
          <w:lang w:val="en-GB"/>
        </w:rPr>
        <w:t xml:space="preserve"> </w:t>
      </w:r>
      <w:r w:rsidR="001F1F3F" w:rsidRPr="001F1F3F">
        <w:rPr>
          <w:lang w:val="en-GB"/>
        </w:rPr>
        <w:t>the results.</w:t>
      </w:r>
      <w:r w:rsidR="001F1F3F">
        <w:rPr>
          <w:lang w:val="en-GB"/>
        </w:rPr>
        <w:t xml:space="preserve"> The committee </w:t>
      </w:r>
      <w:r w:rsidR="0031562C">
        <w:rPr>
          <w:lang w:val="en-GB"/>
        </w:rPr>
        <w:t xml:space="preserve">was uncertain </w:t>
      </w:r>
      <w:r w:rsidR="00AC4BF9">
        <w:rPr>
          <w:lang w:val="en-GB"/>
        </w:rPr>
        <w:t xml:space="preserve">if </w:t>
      </w:r>
      <w:r w:rsidR="0031562C">
        <w:rPr>
          <w:lang w:val="en-GB"/>
        </w:rPr>
        <w:t xml:space="preserve">the </w:t>
      </w:r>
      <w:r w:rsidR="00AC4BF9">
        <w:rPr>
          <w:lang w:val="en-GB"/>
        </w:rPr>
        <w:t xml:space="preserve">effect </w:t>
      </w:r>
      <w:r w:rsidR="0031562C">
        <w:rPr>
          <w:lang w:val="en-GB"/>
        </w:rPr>
        <w:t xml:space="preserve">of minimal residual disease on survival outcomes would </w:t>
      </w:r>
      <w:r w:rsidR="00AC4BF9">
        <w:rPr>
          <w:lang w:val="en-GB"/>
        </w:rPr>
        <w:t xml:space="preserve">stay </w:t>
      </w:r>
      <w:r w:rsidR="0031562C">
        <w:rPr>
          <w:lang w:val="en-GB"/>
        </w:rPr>
        <w:t>constant over time</w:t>
      </w:r>
      <w:r w:rsidR="002B3A07">
        <w:rPr>
          <w:lang w:val="en-GB"/>
        </w:rPr>
        <w:t xml:space="preserve">, as </w:t>
      </w:r>
      <w:r w:rsidR="00A54B4C">
        <w:rPr>
          <w:lang w:val="en-GB"/>
        </w:rPr>
        <w:t xml:space="preserve">was </w:t>
      </w:r>
      <w:r w:rsidR="00AC4BF9">
        <w:rPr>
          <w:lang w:val="en-GB"/>
        </w:rPr>
        <w:t>needed for</w:t>
      </w:r>
      <w:r w:rsidR="002B3A07">
        <w:rPr>
          <w:lang w:val="en-GB"/>
        </w:rPr>
        <w:t xml:space="preserve"> the proportional </w:t>
      </w:r>
      <w:r w:rsidR="004758E0">
        <w:rPr>
          <w:lang w:val="en-GB"/>
        </w:rPr>
        <w:t>hazards</w:t>
      </w:r>
      <w:r w:rsidR="002B3A07">
        <w:rPr>
          <w:lang w:val="en-GB"/>
        </w:rPr>
        <w:t xml:space="preserve"> assumption</w:t>
      </w:r>
      <w:r w:rsidR="0031562C">
        <w:rPr>
          <w:lang w:val="en-GB"/>
        </w:rPr>
        <w:t>. However, it understood that the hazard ratios for people with and without minimal residual disease were not a key driver of the cost-effectiveness results.</w:t>
      </w:r>
    </w:p>
    <w:p w14:paraId="326A6B40" w14:textId="2B9ED127" w:rsidR="002F78DD" w:rsidRDefault="002F78DD" w:rsidP="002F78DD">
      <w:pPr>
        <w:pStyle w:val="Heading3"/>
      </w:pPr>
      <w:bookmarkStart w:id="11" w:name="_People_without_minimal"/>
      <w:bookmarkEnd w:id="11"/>
      <w:r>
        <w:t>People with</w:t>
      </w:r>
      <w:r w:rsidR="0031562C">
        <w:t>out</w:t>
      </w:r>
      <w:r>
        <w:t xml:space="preserve"> minimal residual disease would have a complete response over time</w:t>
      </w:r>
      <w:r w:rsidR="00AC4BF9">
        <w:t xml:space="preserve"> and t</w:t>
      </w:r>
      <w:r w:rsidR="005D2A15">
        <w:t>he company’s definition is appropriate</w:t>
      </w:r>
    </w:p>
    <w:p w14:paraId="5FE5B979" w14:textId="36EC82E0" w:rsidR="00194140" w:rsidRDefault="002F78DD" w:rsidP="002F78DD">
      <w:pPr>
        <w:pStyle w:val="Numberedlevel2text"/>
        <w:rPr>
          <w:lang w:val="en-GB"/>
        </w:rPr>
      </w:pPr>
      <w:r>
        <w:rPr>
          <w:lang w:val="en-GB"/>
        </w:rPr>
        <w:t xml:space="preserve">The ERG found that the definition of minimal residual disease varied across the studies </w:t>
      </w:r>
      <w:r w:rsidR="007C375E">
        <w:rPr>
          <w:lang w:val="en-GB"/>
        </w:rPr>
        <w:t xml:space="preserve">the company included </w:t>
      </w:r>
      <w:r>
        <w:rPr>
          <w:lang w:val="en-GB"/>
        </w:rPr>
        <w:t xml:space="preserve">in </w:t>
      </w:r>
      <w:r w:rsidR="007C375E">
        <w:rPr>
          <w:lang w:val="en-GB"/>
        </w:rPr>
        <w:t>its</w:t>
      </w:r>
      <w:r>
        <w:rPr>
          <w:lang w:val="en-GB"/>
        </w:rPr>
        <w:t xml:space="preserve"> meta-analysis. </w:t>
      </w:r>
      <w:r w:rsidRPr="007A54A6">
        <w:rPr>
          <w:lang w:val="en-GB"/>
        </w:rPr>
        <w:t>According to the criteria of the International Myeloma Working Group (IMWG), minimal residual disease status should be determined</w:t>
      </w:r>
      <w:r w:rsidR="007C375E" w:rsidRPr="007C375E">
        <w:rPr>
          <w:lang w:val="en-GB"/>
        </w:rPr>
        <w:t xml:space="preserve"> </w:t>
      </w:r>
      <w:r w:rsidR="007C375E" w:rsidRPr="007A54A6">
        <w:rPr>
          <w:lang w:val="en-GB"/>
        </w:rPr>
        <w:t>only</w:t>
      </w:r>
      <w:r w:rsidRPr="007A54A6">
        <w:rPr>
          <w:lang w:val="en-GB"/>
        </w:rPr>
        <w:t xml:space="preserve"> in people with a conventional complete response. </w:t>
      </w:r>
      <w:r>
        <w:rPr>
          <w:lang w:val="en-GB"/>
        </w:rPr>
        <w:t xml:space="preserve">This was the definition used in some studies included in the meta-analysis. </w:t>
      </w:r>
      <w:r w:rsidRPr="007A54A6">
        <w:rPr>
          <w:lang w:val="en-GB"/>
        </w:rPr>
        <w:t>However, in CASSIOPEIA</w:t>
      </w:r>
      <w:r w:rsidR="00F52328">
        <w:rPr>
          <w:lang w:val="en-GB"/>
        </w:rPr>
        <w:t>,</w:t>
      </w:r>
      <w:r w:rsidRPr="007A54A6">
        <w:rPr>
          <w:lang w:val="en-GB"/>
        </w:rPr>
        <w:t xml:space="preserve"> minimal residual disease was assessed regardless of conventional complete response. The ERG noted that there </w:t>
      </w:r>
      <w:r w:rsidR="00416F9E">
        <w:rPr>
          <w:lang w:val="en-GB"/>
        </w:rPr>
        <w:t xml:space="preserve">were </w:t>
      </w:r>
      <w:r w:rsidRPr="007A54A6">
        <w:rPr>
          <w:lang w:val="en-GB"/>
        </w:rPr>
        <w:t xml:space="preserve">more people in CASSIOPEIA </w:t>
      </w:r>
      <w:r>
        <w:rPr>
          <w:lang w:val="en-GB"/>
        </w:rPr>
        <w:t>without</w:t>
      </w:r>
      <w:r w:rsidRPr="007A54A6">
        <w:rPr>
          <w:lang w:val="en-GB"/>
        </w:rPr>
        <w:t xml:space="preserve"> minimal residual disease than </w:t>
      </w:r>
      <w:r w:rsidR="00F52328">
        <w:rPr>
          <w:lang w:val="en-GB"/>
        </w:rPr>
        <w:t>there were with a</w:t>
      </w:r>
      <w:r w:rsidRPr="007A54A6">
        <w:rPr>
          <w:lang w:val="en-GB"/>
        </w:rPr>
        <w:t xml:space="preserve"> conventional complete response. Th</w:t>
      </w:r>
      <w:r w:rsidR="00F52328">
        <w:rPr>
          <w:lang w:val="en-GB"/>
        </w:rPr>
        <w:t xml:space="preserve">e clinical experts explained that this may </w:t>
      </w:r>
      <w:r w:rsidR="007C375E">
        <w:rPr>
          <w:lang w:val="en-GB"/>
        </w:rPr>
        <w:t>have</w:t>
      </w:r>
      <w:r w:rsidR="00F52328">
        <w:rPr>
          <w:lang w:val="en-GB"/>
        </w:rPr>
        <w:t xml:space="preserve"> been </w:t>
      </w:r>
      <w:r w:rsidRPr="007A54A6">
        <w:rPr>
          <w:lang w:val="en-GB"/>
        </w:rPr>
        <w:t xml:space="preserve">because there was a delay in the clearance of paraprotein in the serum, which is needed for conventional complete response. </w:t>
      </w:r>
      <w:r>
        <w:rPr>
          <w:lang w:val="en-GB"/>
        </w:rPr>
        <w:t xml:space="preserve">At technical engagement, the company updated its meta-analysis to include </w:t>
      </w:r>
      <w:r w:rsidR="007C375E">
        <w:rPr>
          <w:lang w:val="en-GB"/>
        </w:rPr>
        <w:t xml:space="preserve">only </w:t>
      </w:r>
      <w:r>
        <w:rPr>
          <w:lang w:val="en-GB"/>
        </w:rPr>
        <w:t xml:space="preserve">studies in which minimal residual disease had been defined regardless of conventional complete response. This had broadly similar results to the company’s original meta-analysis. The ERG would have preferred that the company also provide a scenario in which </w:t>
      </w:r>
      <w:r w:rsidR="0014661A">
        <w:rPr>
          <w:lang w:val="en-GB"/>
        </w:rPr>
        <w:t>it</w:t>
      </w:r>
      <w:r w:rsidR="000E7681">
        <w:rPr>
          <w:lang w:val="en-GB"/>
        </w:rPr>
        <w:t xml:space="preserve"> applied </w:t>
      </w:r>
      <w:r>
        <w:rPr>
          <w:lang w:val="en-GB"/>
        </w:rPr>
        <w:t xml:space="preserve">a consistent definition of minimal residual disease according to the IMWG criteria (that is, </w:t>
      </w:r>
      <w:r w:rsidR="00083CBA">
        <w:rPr>
          <w:lang w:val="en-GB"/>
        </w:rPr>
        <w:lastRenderedPageBreak/>
        <w:t xml:space="preserve">needing </w:t>
      </w:r>
      <w:r>
        <w:rPr>
          <w:lang w:val="en-GB"/>
        </w:rPr>
        <w:t xml:space="preserve">a conventional complete response). </w:t>
      </w:r>
      <w:r w:rsidR="00314157">
        <w:rPr>
          <w:lang w:val="en-GB"/>
        </w:rPr>
        <w:t>The ERG</w:t>
      </w:r>
      <w:r>
        <w:rPr>
          <w:lang w:val="en-GB"/>
        </w:rPr>
        <w:t xml:space="preserve"> also noted that </w:t>
      </w:r>
      <w:r w:rsidR="000E7681">
        <w:rPr>
          <w:lang w:val="en-GB"/>
        </w:rPr>
        <w:t xml:space="preserve">in CASSIOPEIA </w:t>
      </w:r>
      <w:r>
        <w:rPr>
          <w:lang w:val="en-GB"/>
        </w:rPr>
        <w:t xml:space="preserve">the absolute rates of minimal residual disease negativity were much lower when using the IMWG definition. This </w:t>
      </w:r>
      <w:r w:rsidR="005D2A15">
        <w:rPr>
          <w:lang w:val="en-GB"/>
        </w:rPr>
        <w:t xml:space="preserve">would </w:t>
      </w:r>
      <w:r w:rsidR="00083CBA">
        <w:rPr>
          <w:lang w:val="en-GB"/>
        </w:rPr>
        <w:t xml:space="preserve">affect </w:t>
      </w:r>
      <w:r>
        <w:rPr>
          <w:lang w:val="en-GB"/>
        </w:rPr>
        <w:t>the survival extrapolations in the model, chang</w:t>
      </w:r>
      <w:r w:rsidR="007665E8">
        <w:rPr>
          <w:lang w:val="en-GB"/>
        </w:rPr>
        <w:t>ing</w:t>
      </w:r>
      <w:r>
        <w:rPr>
          <w:lang w:val="en-GB"/>
        </w:rPr>
        <w:t xml:space="preserve"> the weight attributed to the curves for people with and without minimal residual disease in each treatment arm.</w:t>
      </w:r>
      <w:r w:rsidR="002B779D">
        <w:rPr>
          <w:lang w:val="en-GB"/>
        </w:rPr>
        <w:t xml:space="preserve"> </w:t>
      </w:r>
      <w:r w:rsidR="00194140">
        <w:rPr>
          <w:lang w:val="en-GB"/>
        </w:rPr>
        <w:t>T</w:t>
      </w:r>
      <w:r w:rsidR="00194140" w:rsidRPr="00194140">
        <w:rPr>
          <w:lang w:val="en-GB"/>
        </w:rPr>
        <w:t xml:space="preserve">he committee noted that a scenario provided </w:t>
      </w:r>
      <w:r w:rsidR="00194140">
        <w:rPr>
          <w:lang w:val="en-GB"/>
        </w:rPr>
        <w:t>by the ERG with post-consolidation minimal residual negativity rates defined according to the IMWG definition considerably impacted</w:t>
      </w:r>
      <w:r w:rsidR="00194140" w:rsidRPr="00194140">
        <w:t xml:space="preserve"> </w:t>
      </w:r>
      <w:r w:rsidR="00194140" w:rsidRPr="00194140">
        <w:rPr>
          <w:lang w:val="en-GB"/>
        </w:rPr>
        <w:t>the cost-effectiveness results</w:t>
      </w:r>
      <w:r w:rsidR="00194140">
        <w:rPr>
          <w:lang w:val="en-GB"/>
        </w:rPr>
        <w:t xml:space="preserve">. </w:t>
      </w:r>
      <w:r w:rsidR="002B779D">
        <w:rPr>
          <w:lang w:val="en-GB"/>
        </w:rPr>
        <w:t xml:space="preserve">The clinical experts explained that all people </w:t>
      </w:r>
      <w:r w:rsidR="007665E8">
        <w:rPr>
          <w:lang w:val="en-GB"/>
        </w:rPr>
        <w:t>without</w:t>
      </w:r>
      <w:r w:rsidR="002B779D">
        <w:rPr>
          <w:lang w:val="en-GB"/>
        </w:rPr>
        <w:t xml:space="preserve"> minimal residual disease would eventually have a </w:t>
      </w:r>
      <w:r w:rsidR="005D2A15">
        <w:rPr>
          <w:lang w:val="en-GB"/>
        </w:rPr>
        <w:t xml:space="preserve">conventional </w:t>
      </w:r>
      <w:r w:rsidR="002B779D">
        <w:rPr>
          <w:lang w:val="en-GB"/>
        </w:rPr>
        <w:t xml:space="preserve">complete response, but agreed that there was sometimes a delay between the </w:t>
      </w:r>
      <w:r w:rsidR="00083CBA">
        <w:rPr>
          <w:lang w:val="en-GB"/>
        </w:rPr>
        <w:t>2 </w:t>
      </w:r>
      <w:r w:rsidR="00314157">
        <w:rPr>
          <w:lang w:val="en-GB"/>
        </w:rPr>
        <w:t>outcomes</w:t>
      </w:r>
      <w:r w:rsidR="002B779D">
        <w:rPr>
          <w:lang w:val="en-GB"/>
        </w:rPr>
        <w:t xml:space="preserve">. The committee agreed that people </w:t>
      </w:r>
      <w:r w:rsidR="007665E8">
        <w:rPr>
          <w:lang w:val="en-GB"/>
        </w:rPr>
        <w:t>without</w:t>
      </w:r>
      <w:r w:rsidR="002B779D">
        <w:rPr>
          <w:lang w:val="en-GB"/>
        </w:rPr>
        <w:t xml:space="preserve"> minimal residual disease would </w:t>
      </w:r>
      <w:r w:rsidR="005D2A15">
        <w:rPr>
          <w:lang w:val="en-GB"/>
        </w:rPr>
        <w:t>have a conventional complete response over time. As such, the definition used in the company’s economic model (regardless of conventional complete response) was</w:t>
      </w:r>
      <w:r w:rsidR="000E7681">
        <w:rPr>
          <w:lang w:val="en-GB"/>
        </w:rPr>
        <w:t xml:space="preserve"> likely to be</w:t>
      </w:r>
      <w:r w:rsidR="005D2A15">
        <w:rPr>
          <w:lang w:val="en-GB"/>
        </w:rPr>
        <w:t xml:space="preserve"> appropriate.</w:t>
      </w:r>
    </w:p>
    <w:p w14:paraId="585C7916" w14:textId="4BC356CB" w:rsidR="004123AB" w:rsidRDefault="004123AB" w:rsidP="004123AB">
      <w:pPr>
        <w:pStyle w:val="Heading2"/>
      </w:pPr>
      <w:r>
        <w:t>Modelling survival</w:t>
      </w:r>
    </w:p>
    <w:p w14:paraId="043C50F1" w14:textId="1295A913" w:rsidR="005D2A15" w:rsidRDefault="003032AB" w:rsidP="005D2A15">
      <w:pPr>
        <w:pStyle w:val="Heading3"/>
      </w:pPr>
      <w:bookmarkStart w:id="12" w:name="_The_company’s_model"/>
      <w:bookmarkEnd w:id="12"/>
      <w:r>
        <w:t xml:space="preserve">The company’s model likely underestimates survival for people having </w:t>
      </w:r>
      <w:r w:rsidRPr="003032AB">
        <w:t xml:space="preserve">bortezomib plus thalidomide </w:t>
      </w:r>
      <w:r w:rsidR="00371EDE">
        <w:t>and</w:t>
      </w:r>
      <w:r w:rsidR="00371EDE" w:rsidRPr="003032AB">
        <w:t xml:space="preserve"> </w:t>
      </w:r>
      <w:r w:rsidRPr="003032AB">
        <w:t>dexamethasone</w:t>
      </w:r>
    </w:p>
    <w:p w14:paraId="23C36601" w14:textId="72BF8D9B" w:rsidR="00C34970" w:rsidRPr="003032AB" w:rsidRDefault="008C5D58" w:rsidP="001B1344">
      <w:pPr>
        <w:pStyle w:val="Numberedlevel2text"/>
      </w:pPr>
      <w:r>
        <w:rPr>
          <w:lang w:val="en-GB"/>
        </w:rPr>
        <w:t xml:space="preserve">The company extrapolated </w:t>
      </w:r>
      <w:r w:rsidR="00070379">
        <w:rPr>
          <w:lang w:val="en-GB"/>
        </w:rPr>
        <w:t>progression</w:t>
      </w:r>
      <w:r w:rsidR="00371EDE">
        <w:rPr>
          <w:lang w:val="en-GB"/>
        </w:rPr>
        <w:t>-</w:t>
      </w:r>
      <w:r w:rsidR="00070379">
        <w:rPr>
          <w:lang w:val="en-GB"/>
        </w:rPr>
        <w:t xml:space="preserve">free </w:t>
      </w:r>
      <w:r>
        <w:rPr>
          <w:lang w:val="en-GB"/>
        </w:rPr>
        <w:t xml:space="preserve">survival </w:t>
      </w:r>
      <w:r w:rsidR="00070379">
        <w:rPr>
          <w:lang w:val="en-GB"/>
        </w:rPr>
        <w:t xml:space="preserve">and overall survival </w:t>
      </w:r>
      <w:r>
        <w:rPr>
          <w:lang w:val="en-GB"/>
        </w:rPr>
        <w:t xml:space="preserve">for people with minimal residual disease having bortezomib plus thalidomide </w:t>
      </w:r>
      <w:r w:rsidR="00371EDE">
        <w:rPr>
          <w:lang w:val="en-GB"/>
        </w:rPr>
        <w:t xml:space="preserve">and </w:t>
      </w:r>
      <w:r>
        <w:rPr>
          <w:lang w:val="en-GB"/>
        </w:rPr>
        <w:t xml:space="preserve">dexamethasone using </w:t>
      </w:r>
      <w:r w:rsidR="00346818">
        <w:rPr>
          <w:lang w:val="en-GB"/>
        </w:rPr>
        <w:t>parametric</w:t>
      </w:r>
      <w:r>
        <w:rPr>
          <w:lang w:val="en-GB"/>
        </w:rPr>
        <w:t xml:space="preserve"> distributions fitted </w:t>
      </w:r>
      <w:r w:rsidR="00CD7D5E">
        <w:rPr>
          <w:lang w:val="en-GB"/>
        </w:rPr>
        <w:t xml:space="preserve">to the post-landmark data from CASSIOPEIA. The company </w:t>
      </w:r>
      <w:r w:rsidR="00346818">
        <w:rPr>
          <w:lang w:val="en-GB"/>
        </w:rPr>
        <w:t>used</w:t>
      </w:r>
      <w:r w:rsidR="00CD7D5E">
        <w:rPr>
          <w:lang w:val="en-GB"/>
        </w:rPr>
        <w:t xml:space="preserve"> this patient group </w:t>
      </w:r>
      <w:r w:rsidR="00371EDE">
        <w:rPr>
          <w:lang w:val="en-GB"/>
        </w:rPr>
        <w:t xml:space="preserve">because </w:t>
      </w:r>
      <w:r w:rsidR="00CD7D5E">
        <w:rPr>
          <w:lang w:val="en-GB"/>
        </w:rPr>
        <w:t xml:space="preserve">it had </w:t>
      </w:r>
      <w:r w:rsidR="00346818">
        <w:rPr>
          <w:lang w:val="en-GB"/>
        </w:rPr>
        <w:t xml:space="preserve">the highest number of events and therefore the most mature data. It selected an exponential distribution for both progression-free </w:t>
      </w:r>
      <w:r w:rsidR="00D11ADC">
        <w:rPr>
          <w:lang w:val="en-GB"/>
        </w:rPr>
        <w:t xml:space="preserve">survival </w:t>
      </w:r>
      <w:r w:rsidR="00346818">
        <w:rPr>
          <w:lang w:val="en-GB"/>
        </w:rPr>
        <w:t xml:space="preserve">and overall survival </w:t>
      </w:r>
      <w:r w:rsidR="00371EDE">
        <w:rPr>
          <w:lang w:val="en-GB"/>
        </w:rPr>
        <w:t xml:space="preserve">because </w:t>
      </w:r>
      <w:r w:rsidR="00346818">
        <w:rPr>
          <w:lang w:val="en-GB"/>
        </w:rPr>
        <w:t xml:space="preserve">it had a good statistical and visual fit to the data, and provided clinically plausible predictions. </w:t>
      </w:r>
      <w:r w:rsidR="00C34970">
        <w:rPr>
          <w:lang w:val="en-GB"/>
        </w:rPr>
        <w:t xml:space="preserve">To validate the survival curves predicted by the model for all </w:t>
      </w:r>
      <w:r w:rsidR="003032AB">
        <w:rPr>
          <w:lang w:val="en-GB"/>
        </w:rPr>
        <w:t>people</w:t>
      </w:r>
      <w:r w:rsidR="00C34970">
        <w:rPr>
          <w:lang w:val="en-GB"/>
        </w:rPr>
        <w:t xml:space="preserve"> having </w:t>
      </w:r>
      <w:r w:rsidR="00C34970" w:rsidRPr="00C34970">
        <w:rPr>
          <w:lang w:val="en-GB"/>
        </w:rPr>
        <w:t xml:space="preserve">bortezomib plus thalidomide </w:t>
      </w:r>
      <w:r w:rsidR="005509FD">
        <w:rPr>
          <w:lang w:val="en-GB"/>
        </w:rPr>
        <w:t>and</w:t>
      </w:r>
      <w:r w:rsidR="005509FD" w:rsidRPr="00C34970">
        <w:rPr>
          <w:lang w:val="en-GB"/>
        </w:rPr>
        <w:t xml:space="preserve"> </w:t>
      </w:r>
      <w:r w:rsidR="00C34970" w:rsidRPr="00C34970">
        <w:rPr>
          <w:lang w:val="en-GB"/>
        </w:rPr>
        <w:t>dexamethasone</w:t>
      </w:r>
      <w:r w:rsidR="00C34970">
        <w:rPr>
          <w:lang w:val="en-GB"/>
        </w:rPr>
        <w:t xml:space="preserve"> (regardless of minimal residual disease status), the company compared them </w:t>
      </w:r>
      <w:r w:rsidR="004123AB">
        <w:rPr>
          <w:lang w:val="en-GB"/>
        </w:rPr>
        <w:t>with</w:t>
      </w:r>
      <w:r w:rsidR="00C34970">
        <w:rPr>
          <w:lang w:val="en-GB"/>
        </w:rPr>
        <w:t xml:space="preserve"> external data sources. It found that the </w:t>
      </w:r>
      <w:r w:rsidR="00D11ADC">
        <w:rPr>
          <w:lang w:val="en-GB"/>
        </w:rPr>
        <w:t xml:space="preserve">overall </w:t>
      </w:r>
      <w:r w:rsidR="00C34970">
        <w:rPr>
          <w:lang w:val="en-GB"/>
        </w:rPr>
        <w:t>survival rates up to 10</w:t>
      </w:r>
      <w:r w:rsidR="005509FD">
        <w:rPr>
          <w:lang w:val="en-GB"/>
        </w:rPr>
        <w:t> </w:t>
      </w:r>
      <w:r w:rsidR="00C34970">
        <w:rPr>
          <w:lang w:val="en-GB"/>
        </w:rPr>
        <w:t xml:space="preserve">years were broadly comparable with the GIMEMA study, which </w:t>
      </w:r>
      <w:r w:rsidR="00C34970">
        <w:rPr>
          <w:lang w:val="en-GB"/>
        </w:rPr>
        <w:lastRenderedPageBreak/>
        <w:t xml:space="preserve">compared </w:t>
      </w:r>
      <w:r w:rsidR="00C34970" w:rsidRPr="00C34970">
        <w:rPr>
          <w:lang w:val="en-GB"/>
        </w:rPr>
        <w:t xml:space="preserve">bortezomib plus thalidomide </w:t>
      </w:r>
      <w:r w:rsidR="005509FD">
        <w:rPr>
          <w:lang w:val="en-GB"/>
        </w:rPr>
        <w:t>and</w:t>
      </w:r>
      <w:r w:rsidR="005509FD" w:rsidRPr="00C34970">
        <w:rPr>
          <w:lang w:val="en-GB"/>
        </w:rPr>
        <w:t xml:space="preserve"> </w:t>
      </w:r>
      <w:r w:rsidR="00C34970" w:rsidRPr="00C34970">
        <w:rPr>
          <w:lang w:val="en-GB"/>
        </w:rPr>
        <w:t>dexamethasone</w:t>
      </w:r>
      <w:r w:rsidR="00C34970">
        <w:rPr>
          <w:lang w:val="en-GB"/>
        </w:rPr>
        <w:t xml:space="preserve"> with thalidomide </w:t>
      </w:r>
      <w:r w:rsidR="0027350F">
        <w:rPr>
          <w:lang w:val="en-GB"/>
        </w:rPr>
        <w:t>plus</w:t>
      </w:r>
      <w:r w:rsidR="00C34970">
        <w:rPr>
          <w:lang w:val="en-GB"/>
        </w:rPr>
        <w:t xml:space="preserve"> dexamethasone in </w:t>
      </w:r>
      <w:r w:rsidR="0027350F">
        <w:rPr>
          <w:lang w:val="en-GB"/>
        </w:rPr>
        <w:t xml:space="preserve">people with </w:t>
      </w:r>
      <w:r w:rsidR="00C34970">
        <w:rPr>
          <w:lang w:val="en-GB"/>
        </w:rPr>
        <w:t xml:space="preserve">newly diagnosed multiple myeloma. The ERG </w:t>
      </w:r>
      <w:r w:rsidR="000C0709">
        <w:rPr>
          <w:lang w:val="en-GB"/>
        </w:rPr>
        <w:t xml:space="preserve">considered the exponential distribution for overall survival to be reasonable. </w:t>
      </w:r>
      <w:r w:rsidR="004123AB">
        <w:rPr>
          <w:lang w:val="en-GB"/>
        </w:rPr>
        <w:t xml:space="preserve">For progression-free survival, </w:t>
      </w:r>
      <w:r w:rsidR="001B1344">
        <w:rPr>
          <w:lang w:val="en-GB"/>
        </w:rPr>
        <w:t>t</w:t>
      </w:r>
      <w:r w:rsidR="001B1344" w:rsidRPr="001B1344">
        <w:rPr>
          <w:lang w:val="en-GB"/>
        </w:rPr>
        <w:t xml:space="preserve">he committee noted that </w:t>
      </w:r>
      <w:r w:rsidR="001B1344">
        <w:rPr>
          <w:lang w:val="en-GB"/>
        </w:rPr>
        <w:t>the company’s choice of exponential distribution underestimated survival during the first 3</w:t>
      </w:r>
      <w:r w:rsidR="005509FD">
        <w:rPr>
          <w:lang w:val="en-GB"/>
        </w:rPr>
        <w:t> </w:t>
      </w:r>
      <w:r w:rsidR="001B1344">
        <w:rPr>
          <w:lang w:val="en-GB"/>
        </w:rPr>
        <w:t>years after the landmark timepoint, whe</w:t>
      </w:r>
      <w:r w:rsidR="009F6A93">
        <w:rPr>
          <w:lang w:val="en-GB"/>
        </w:rPr>
        <w:t>n</w:t>
      </w:r>
      <w:r w:rsidR="001B1344">
        <w:rPr>
          <w:lang w:val="en-GB"/>
        </w:rPr>
        <w:t xml:space="preserve"> there was more data. </w:t>
      </w:r>
      <w:r w:rsidR="00CE180D" w:rsidRPr="001B1344">
        <w:rPr>
          <w:lang w:val="en-GB"/>
        </w:rPr>
        <w:t>T</w:t>
      </w:r>
      <w:r w:rsidR="004123AB" w:rsidRPr="001B1344">
        <w:rPr>
          <w:lang w:val="en-GB"/>
        </w:rPr>
        <w:t>he ERG</w:t>
      </w:r>
      <w:r w:rsidR="000C0709" w:rsidRPr="001B1344">
        <w:rPr>
          <w:lang w:val="en-GB"/>
        </w:rPr>
        <w:t xml:space="preserve"> noted that the Weibull and Gompertz distributions gave a better overall fit to the trial data. The ERG was also concerned that the censoring of people re-randomised to daratumumab maintenance in the company’s landmark analysis would bias the </w:t>
      </w:r>
      <w:r w:rsidR="00D11ADC" w:rsidRPr="001B1344">
        <w:rPr>
          <w:lang w:val="en-GB"/>
        </w:rPr>
        <w:t xml:space="preserve">overall survival </w:t>
      </w:r>
      <w:r w:rsidR="000C0709" w:rsidRPr="001B1344">
        <w:rPr>
          <w:lang w:val="en-GB"/>
        </w:rPr>
        <w:t>results</w:t>
      </w:r>
      <w:r w:rsidR="00416F9E" w:rsidRPr="001B1344">
        <w:rPr>
          <w:lang w:val="en-GB"/>
        </w:rPr>
        <w:t xml:space="preserve"> (see </w:t>
      </w:r>
      <w:hyperlink w:anchor="_The_company’s_censored" w:history="1">
        <w:r w:rsidR="00416F9E" w:rsidRPr="001B1344">
          <w:rPr>
            <w:rStyle w:val="Hyperlink"/>
            <w:lang w:val="en-GB"/>
          </w:rPr>
          <w:t>section 3.6</w:t>
        </w:r>
      </w:hyperlink>
      <w:r w:rsidR="00416F9E" w:rsidRPr="001B1344">
        <w:rPr>
          <w:lang w:val="en-GB"/>
        </w:rPr>
        <w:t>)</w:t>
      </w:r>
      <w:r w:rsidR="000C0709" w:rsidRPr="001B1344">
        <w:rPr>
          <w:lang w:val="en-GB"/>
        </w:rPr>
        <w:t>. This was because people who had maintenance therapy in CASSIOPEIA had to have</w:t>
      </w:r>
      <w:r w:rsidR="005509FD">
        <w:rPr>
          <w:lang w:val="en-GB"/>
        </w:rPr>
        <w:t xml:space="preserve"> disease with</w:t>
      </w:r>
      <w:r w:rsidR="000C0709" w:rsidRPr="001B1344">
        <w:rPr>
          <w:lang w:val="en-GB"/>
        </w:rPr>
        <w:t xml:space="preserve"> at least a partial response after consolidation, and therefore a better prognosis.</w:t>
      </w:r>
      <w:r w:rsidR="004123AB" w:rsidRPr="001B1344">
        <w:rPr>
          <w:lang w:val="en-GB"/>
        </w:rPr>
        <w:t xml:space="preserve"> The clinical experts predicted that around 70% of people having bortezomib plus thalidomide </w:t>
      </w:r>
      <w:r w:rsidR="005509FD">
        <w:rPr>
          <w:lang w:val="en-GB"/>
        </w:rPr>
        <w:t>and</w:t>
      </w:r>
      <w:r w:rsidR="005509FD" w:rsidRPr="001B1344">
        <w:rPr>
          <w:lang w:val="en-GB"/>
        </w:rPr>
        <w:t xml:space="preserve"> </w:t>
      </w:r>
      <w:r w:rsidR="004123AB" w:rsidRPr="001B1344">
        <w:rPr>
          <w:lang w:val="en-GB"/>
        </w:rPr>
        <w:t>dexamethasone would be alive after 5</w:t>
      </w:r>
      <w:r w:rsidR="005509FD">
        <w:rPr>
          <w:lang w:val="en-GB"/>
        </w:rPr>
        <w:t> </w:t>
      </w:r>
      <w:r w:rsidR="004123AB" w:rsidRPr="001B1344">
        <w:rPr>
          <w:lang w:val="en-GB"/>
        </w:rPr>
        <w:t>years, and between 50% and 60% of people would be alive after 10</w:t>
      </w:r>
      <w:r w:rsidR="005509FD">
        <w:rPr>
          <w:lang w:val="en-GB"/>
        </w:rPr>
        <w:t> </w:t>
      </w:r>
      <w:r w:rsidR="004123AB" w:rsidRPr="001B1344">
        <w:rPr>
          <w:lang w:val="en-GB"/>
        </w:rPr>
        <w:t xml:space="preserve">years. The committee agreed with the ERG that </w:t>
      </w:r>
      <w:r w:rsidR="001B1344">
        <w:rPr>
          <w:lang w:val="en-GB"/>
        </w:rPr>
        <w:t>the company’s censoring approach</w:t>
      </w:r>
      <w:r w:rsidR="004123AB" w:rsidRPr="001B1344">
        <w:rPr>
          <w:lang w:val="en-GB"/>
        </w:rPr>
        <w:t xml:space="preserve"> would likely underestimate survival for patients having bortezomib plus thalidomide </w:t>
      </w:r>
      <w:r w:rsidR="005509FD">
        <w:rPr>
          <w:lang w:val="en-GB"/>
        </w:rPr>
        <w:t>and</w:t>
      </w:r>
      <w:r w:rsidR="005509FD" w:rsidRPr="001B1344">
        <w:rPr>
          <w:lang w:val="en-GB"/>
        </w:rPr>
        <w:t xml:space="preserve"> </w:t>
      </w:r>
      <w:r w:rsidR="004123AB" w:rsidRPr="001B1344">
        <w:rPr>
          <w:lang w:val="en-GB"/>
        </w:rPr>
        <w:t>dexamethasone</w:t>
      </w:r>
      <w:r w:rsidR="003032AB" w:rsidRPr="001B1344">
        <w:rPr>
          <w:lang w:val="en-GB"/>
        </w:rPr>
        <w:t xml:space="preserve">. The committee concluded that the company’s extrapolations likely underestimated survival for patients having bortezomib plus thalidomide </w:t>
      </w:r>
      <w:r w:rsidR="005509FD">
        <w:rPr>
          <w:lang w:val="en-GB"/>
        </w:rPr>
        <w:t>and</w:t>
      </w:r>
      <w:r w:rsidR="005509FD" w:rsidRPr="001B1344">
        <w:rPr>
          <w:lang w:val="en-GB"/>
        </w:rPr>
        <w:t xml:space="preserve"> </w:t>
      </w:r>
      <w:r w:rsidR="003032AB" w:rsidRPr="001B1344">
        <w:rPr>
          <w:lang w:val="en-GB"/>
        </w:rPr>
        <w:t>dexamethasone.</w:t>
      </w:r>
    </w:p>
    <w:p w14:paraId="0C005AC2" w14:textId="2FEEB64D" w:rsidR="003032AB" w:rsidRDefault="003032AB" w:rsidP="003032AB">
      <w:pPr>
        <w:pStyle w:val="Heading3"/>
      </w:pPr>
      <w:bookmarkStart w:id="13" w:name="_Treatment_waning_should"/>
      <w:bookmarkEnd w:id="13"/>
      <w:r>
        <w:t xml:space="preserve">Treatment </w:t>
      </w:r>
      <w:r w:rsidR="000500D5">
        <w:t xml:space="preserve">effect </w:t>
      </w:r>
      <w:r>
        <w:t xml:space="preserve">waning should be included in the model, </w:t>
      </w:r>
      <w:r w:rsidR="00E65673">
        <w:t>but</w:t>
      </w:r>
      <w:r>
        <w:t xml:space="preserve"> </w:t>
      </w:r>
      <w:r w:rsidR="00075AA2">
        <w:t xml:space="preserve">the </w:t>
      </w:r>
      <w:r w:rsidR="00E65673">
        <w:t>duration</w:t>
      </w:r>
      <w:r w:rsidR="00715994">
        <w:t xml:space="preserve"> of the daratumumab </w:t>
      </w:r>
      <w:r w:rsidR="00075AA2">
        <w:t xml:space="preserve">treatment effect is </w:t>
      </w:r>
      <w:r w:rsidR="00715994">
        <w:t>highly uncertain</w:t>
      </w:r>
    </w:p>
    <w:p w14:paraId="59A6BCEF" w14:textId="22B2ED73" w:rsidR="00E65673" w:rsidRPr="00E65673" w:rsidRDefault="00075AA2" w:rsidP="00E65673">
      <w:pPr>
        <w:pStyle w:val="Numberedlevel2text"/>
      </w:pPr>
      <w:r>
        <w:rPr>
          <w:lang w:val="en-GB"/>
        </w:rPr>
        <w:t xml:space="preserve">Treatment </w:t>
      </w:r>
      <w:r w:rsidR="000500D5">
        <w:rPr>
          <w:lang w:val="en-GB"/>
        </w:rPr>
        <w:t xml:space="preserve">effect </w:t>
      </w:r>
      <w:r>
        <w:rPr>
          <w:lang w:val="en-GB"/>
        </w:rPr>
        <w:t xml:space="preserve">waning refers to </w:t>
      </w:r>
      <w:r w:rsidR="005509FD">
        <w:rPr>
          <w:lang w:val="en-GB"/>
        </w:rPr>
        <w:t>whether</w:t>
      </w:r>
      <w:r>
        <w:rPr>
          <w:lang w:val="en-GB"/>
        </w:rPr>
        <w:t xml:space="preserve"> the relative treatment effect of daratumumab is likely to reduce over time after people stop taking it. The company’s base case included a lifetime treatment effect with daratumumab. </w:t>
      </w:r>
      <w:r w:rsidR="00725D0F">
        <w:rPr>
          <w:lang w:val="en-GB"/>
        </w:rPr>
        <w:t>The company believed that there was no evidence to suggest if, or when, the treatment effect of daratumumab would wane over time. It noted that the latest data cut from CASSIOPEIA, with a median follow</w:t>
      </w:r>
      <w:r w:rsidR="005509FD">
        <w:rPr>
          <w:lang w:val="en-GB"/>
        </w:rPr>
        <w:t xml:space="preserve"> </w:t>
      </w:r>
      <w:r w:rsidR="00725D0F">
        <w:rPr>
          <w:lang w:val="en-GB"/>
        </w:rPr>
        <w:t>up of almost 4</w:t>
      </w:r>
      <w:r w:rsidR="005509FD">
        <w:rPr>
          <w:lang w:val="en-GB"/>
        </w:rPr>
        <w:t> </w:t>
      </w:r>
      <w:r w:rsidR="00725D0F">
        <w:rPr>
          <w:lang w:val="en-GB"/>
        </w:rPr>
        <w:t xml:space="preserve">years, continued to show </w:t>
      </w:r>
      <w:r w:rsidR="005C24C9">
        <w:rPr>
          <w:lang w:val="en-GB"/>
        </w:rPr>
        <w:t>a</w:t>
      </w:r>
      <w:r w:rsidR="00725D0F">
        <w:rPr>
          <w:lang w:val="en-GB"/>
        </w:rPr>
        <w:t xml:space="preserve"> relative benefit </w:t>
      </w:r>
      <w:r w:rsidR="005C24C9">
        <w:rPr>
          <w:lang w:val="en-GB"/>
        </w:rPr>
        <w:t xml:space="preserve">for </w:t>
      </w:r>
      <w:r w:rsidR="00725D0F">
        <w:rPr>
          <w:lang w:val="en-GB"/>
        </w:rPr>
        <w:t xml:space="preserve">daratumumab. The company also presented evidence that </w:t>
      </w:r>
      <w:r w:rsidR="00416F9E">
        <w:rPr>
          <w:lang w:val="en-GB"/>
        </w:rPr>
        <w:t>people</w:t>
      </w:r>
      <w:r w:rsidR="00725D0F">
        <w:rPr>
          <w:lang w:val="en-GB"/>
        </w:rPr>
        <w:t xml:space="preserve"> </w:t>
      </w:r>
      <w:r w:rsidR="00725D0F">
        <w:rPr>
          <w:lang w:val="en-GB"/>
        </w:rPr>
        <w:lastRenderedPageBreak/>
        <w:t>having daratumumab had deeper response</w:t>
      </w:r>
      <w:r w:rsidR="00951099">
        <w:rPr>
          <w:lang w:val="en-GB"/>
        </w:rPr>
        <w:t>s</w:t>
      </w:r>
      <w:r w:rsidR="00725D0F">
        <w:rPr>
          <w:lang w:val="en-GB"/>
        </w:rPr>
        <w:t xml:space="preserve">, which correlated </w:t>
      </w:r>
      <w:r w:rsidR="00951099">
        <w:rPr>
          <w:lang w:val="en-GB"/>
        </w:rPr>
        <w:t>with improved survival outcomes. Also, after 10</w:t>
      </w:r>
      <w:r w:rsidR="005509FD">
        <w:rPr>
          <w:lang w:val="en-GB"/>
        </w:rPr>
        <w:t> </w:t>
      </w:r>
      <w:r w:rsidR="00951099">
        <w:rPr>
          <w:lang w:val="en-GB"/>
        </w:rPr>
        <w:t>years median follow</w:t>
      </w:r>
      <w:r w:rsidR="005509FD">
        <w:rPr>
          <w:lang w:val="en-GB"/>
        </w:rPr>
        <w:t xml:space="preserve"> </w:t>
      </w:r>
      <w:r w:rsidR="00951099">
        <w:rPr>
          <w:lang w:val="en-GB"/>
        </w:rPr>
        <w:t>up in GIMEMA (</w:t>
      </w:r>
      <w:r w:rsidR="00951099" w:rsidRPr="005C24C9">
        <w:rPr>
          <w:color w:val="000000" w:themeColor="text1"/>
          <w:lang w:val="en-GB"/>
        </w:rPr>
        <w:t xml:space="preserve">see </w:t>
      </w:r>
      <w:hyperlink w:anchor="_The_company’s_model" w:history="1">
        <w:r w:rsidR="00951099" w:rsidRPr="005C24C9">
          <w:rPr>
            <w:rStyle w:val="Hyperlink"/>
            <w:lang w:val="en-GB"/>
          </w:rPr>
          <w:t xml:space="preserve">section </w:t>
        </w:r>
        <w:r w:rsidR="005C24C9" w:rsidRPr="005C24C9">
          <w:rPr>
            <w:rStyle w:val="Hyperlink"/>
            <w:lang w:val="en-GB"/>
          </w:rPr>
          <w:t>3.13</w:t>
        </w:r>
      </w:hyperlink>
      <w:r w:rsidR="00951099">
        <w:rPr>
          <w:lang w:val="en-GB"/>
        </w:rPr>
        <w:t>)</w:t>
      </w:r>
      <w:r w:rsidR="005509FD">
        <w:rPr>
          <w:lang w:val="en-GB"/>
        </w:rPr>
        <w:t>,</w:t>
      </w:r>
      <w:r w:rsidR="00951099">
        <w:rPr>
          <w:lang w:val="en-GB"/>
        </w:rPr>
        <w:t xml:space="preserve"> there was no evidence to suggest a waning in the relative effect of </w:t>
      </w:r>
      <w:r w:rsidR="00951099" w:rsidRPr="00951099">
        <w:rPr>
          <w:lang w:val="en-GB"/>
        </w:rPr>
        <w:t xml:space="preserve">bortezomib plus thalidomide </w:t>
      </w:r>
      <w:r w:rsidR="005509FD">
        <w:rPr>
          <w:lang w:val="en-GB"/>
        </w:rPr>
        <w:t>and</w:t>
      </w:r>
      <w:r w:rsidR="005509FD" w:rsidRPr="00951099">
        <w:rPr>
          <w:lang w:val="en-GB"/>
        </w:rPr>
        <w:t xml:space="preserve"> </w:t>
      </w:r>
      <w:r w:rsidR="00951099" w:rsidRPr="00951099">
        <w:rPr>
          <w:lang w:val="en-GB"/>
        </w:rPr>
        <w:t>dexamethasone over thalidomide plus dexamethasone</w:t>
      </w:r>
      <w:r w:rsidR="00951099">
        <w:rPr>
          <w:lang w:val="en-GB"/>
        </w:rPr>
        <w:t xml:space="preserve">. The ERG felt that there was </w:t>
      </w:r>
      <w:r w:rsidR="005509FD">
        <w:rPr>
          <w:lang w:val="en-GB"/>
        </w:rPr>
        <w:t xml:space="preserve">not enough </w:t>
      </w:r>
      <w:r w:rsidR="00951099">
        <w:rPr>
          <w:lang w:val="en-GB"/>
        </w:rPr>
        <w:t xml:space="preserve">evidence to support a lifetime treatment effect with daratumumab, and that this was an optimistic assumption. It was reluctant to draw conclusions from the updated CASSIOPEIA landmark analysis </w:t>
      </w:r>
      <w:r w:rsidR="005509FD">
        <w:rPr>
          <w:lang w:val="en-GB"/>
        </w:rPr>
        <w:t>because of</w:t>
      </w:r>
      <w:r w:rsidR="00951099">
        <w:rPr>
          <w:lang w:val="en-GB"/>
        </w:rPr>
        <w:t xml:space="preserve"> the potential bias from censoring (</w:t>
      </w:r>
      <w:r w:rsidR="00951099" w:rsidRPr="005C24C9">
        <w:rPr>
          <w:color w:val="000000" w:themeColor="text1"/>
          <w:lang w:val="en-GB"/>
        </w:rPr>
        <w:t xml:space="preserve">see </w:t>
      </w:r>
      <w:hyperlink w:anchor="_The_company’s_censored" w:history="1">
        <w:r w:rsidR="00951099" w:rsidRPr="005C24C9">
          <w:rPr>
            <w:rStyle w:val="Hyperlink"/>
            <w:lang w:val="en-GB"/>
          </w:rPr>
          <w:t xml:space="preserve">section </w:t>
        </w:r>
        <w:r w:rsidR="005C24C9" w:rsidRPr="005C24C9">
          <w:rPr>
            <w:rStyle w:val="Hyperlink"/>
            <w:lang w:val="en-GB"/>
          </w:rPr>
          <w:t>3.6</w:t>
        </w:r>
      </w:hyperlink>
      <w:r w:rsidR="00951099">
        <w:rPr>
          <w:lang w:val="en-GB"/>
        </w:rPr>
        <w:t xml:space="preserve">). </w:t>
      </w:r>
      <w:r w:rsidR="00E440D0">
        <w:rPr>
          <w:lang w:val="en-GB"/>
        </w:rPr>
        <w:t>The ERG preferred a scenario with a treatment effect lasting 5</w:t>
      </w:r>
      <w:r w:rsidR="004C3B55">
        <w:rPr>
          <w:lang w:val="en-GB"/>
        </w:rPr>
        <w:t> </w:t>
      </w:r>
      <w:r w:rsidR="00E440D0">
        <w:rPr>
          <w:lang w:val="en-GB"/>
        </w:rPr>
        <w:t>years after consolidation therapy. This was modelled by setting the disease progression and mortality rates as equal to that of the comparator from this timepoint onwards.</w:t>
      </w:r>
      <w:r w:rsidR="001B6F92">
        <w:rPr>
          <w:lang w:val="en-GB"/>
        </w:rPr>
        <w:t xml:space="preserve"> The clinical experts </w:t>
      </w:r>
      <w:r w:rsidR="00715994">
        <w:rPr>
          <w:lang w:val="en-GB"/>
        </w:rPr>
        <w:t>considered that the GIMEMA results suggested that the daratumumab treatment effect would last longer than 5</w:t>
      </w:r>
      <w:r w:rsidR="004C3B55">
        <w:rPr>
          <w:lang w:val="en-GB"/>
        </w:rPr>
        <w:t> </w:t>
      </w:r>
      <w:r w:rsidR="00715994">
        <w:rPr>
          <w:lang w:val="en-GB"/>
        </w:rPr>
        <w:t xml:space="preserve">years after consolidation therapy. The clinical lead for the Cancer Drugs Fund stated that because people had daratumumab for fixed, short treatment duration, it was likely that </w:t>
      </w:r>
      <w:r w:rsidR="00320174">
        <w:rPr>
          <w:lang w:val="en-GB"/>
        </w:rPr>
        <w:t>the</w:t>
      </w:r>
      <w:r w:rsidR="00715994">
        <w:rPr>
          <w:lang w:val="en-GB"/>
        </w:rPr>
        <w:t xml:space="preserve"> treatment effect would wane over time. The committee </w:t>
      </w:r>
      <w:r w:rsidR="00E65673">
        <w:rPr>
          <w:lang w:val="en-GB"/>
        </w:rPr>
        <w:t xml:space="preserve">understood that including treatment </w:t>
      </w:r>
      <w:r w:rsidR="000500D5">
        <w:rPr>
          <w:lang w:val="en-GB"/>
        </w:rPr>
        <w:t xml:space="preserve">effect </w:t>
      </w:r>
      <w:r w:rsidR="00E65673">
        <w:rPr>
          <w:lang w:val="en-GB"/>
        </w:rPr>
        <w:t>waning in the model considerabl</w:t>
      </w:r>
      <w:r w:rsidR="002A0539">
        <w:rPr>
          <w:lang w:val="en-GB"/>
        </w:rPr>
        <w:t>y</w:t>
      </w:r>
      <w:r w:rsidR="00E65673">
        <w:rPr>
          <w:lang w:val="en-GB"/>
        </w:rPr>
        <w:t xml:space="preserve"> </w:t>
      </w:r>
      <w:r w:rsidR="004C3B55">
        <w:rPr>
          <w:lang w:val="en-GB"/>
        </w:rPr>
        <w:t xml:space="preserve">affected </w:t>
      </w:r>
      <w:r w:rsidR="00E65673">
        <w:rPr>
          <w:lang w:val="en-GB"/>
        </w:rPr>
        <w:t xml:space="preserve">the cost-effectiveness results. It </w:t>
      </w:r>
      <w:r w:rsidR="00715994" w:rsidRPr="00E65673">
        <w:rPr>
          <w:lang w:val="en-GB"/>
        </w:rPr>
        <w:t xml:space="preserve">considered that the </w:t>
      </w:r>
      <w:r w:rsidR="00E65673" w:rsidRPr="00E65673">
        <w:rPr>
          <w:lang w:val="en-GB"/>
        </w:rPr>
        <w:t xml:space="preserve">daratumumab treatment effect was likely to decline gradually over time, but the timepoints at which this decline would start and finish were highly uncertain. The committee concluded that treatment </w:t>
      </w:r>
      <w:r w:rsidR="000500D5">
        <w:rPr>
          <w:lang w:val="en-GB"/>
        </w:rPr>
        <w:t xml:space="preserve">effect </w:t>
      </w:r>
      <w:r w:rsidR="00E65673" w:rsidRPr="00E65673">
        <w:rPr>
          <w:lang w:val="en-GB"/>
        </w:rPr>
        <w:t xml:space="preserve">waning should be included in the model, </w:t>
      </w:r>
      <w:r w:rsidR="00E65673">
        <w:rPr>
          <w:lang w:val="en-GB"/>
        </w:rPr>
        <w:t>but that</w:t>
      </w:r>
      <w:r w:rsidR="00E65673" w:rsidRPr="00E65673">
        <w:rPr>
          <w:lang w:val="en-GB"/>
        </w:rPr>
        <w:t xml:space="preserve"> the duration of the daratumumab treatment effect was highly uncertain.</w:t>
      </w:r>
      <w:r w:rsidR="00E145EF">
        <w:rPr>
          <w:lang w:val="en-GB"/>
        </w:rPr>
        <w:t xml:space="preserve"> The committee </w:t>
      </w:r>
      <w:r w:rsidR="005C24C9">
        <w:rPr>
          <w:lang w:val="en-GB"/>
        </w:rPr>
        <w:t>considered</w:t>
      </w:r>
      <w:r w:rsidR="00E145EF">
        <w:rPr>
          <w:lang w:val="en-GB"/>
        </w:rPr>
        <w:t xml:space="preserve"> it reasonable to consider scenarios with a treatment effect last</w:t>
      </w:r>
      <w:r w:rsidR="001A4E20">
        <w:rPr>
          <w:lang w:val="en-GB"/>
        </w:rPr>
        <w:t>ing</w:t>
      </w:r>
      <w:r w:rsidR="00E145EF">
        <w:rPr>
          <w:lang w:val="en-GB"/>
        </w:rPr>
        <w:t xml:space="preserve"> 5 and 10</w:t>
      </w:r>
      <w:r w:rsidR="004C3B55">
        <w:rPr>
          <w:lang w:val="en-GB"/>
        </w:rPr>
        <w:t> </w:t>
      </w:r>
      <w:r w:rsidR="00E145EF">
        <w:rPr>
          <w:lang w:val="en-GB"/>
        </w:rPr>
        <w:t>years after consolidation therapy.</w:t>
      </w:r>
    </w:p>
    <w:p w14:paraId="3228DE1A" w14:textId="297CC64D" w:rsidR="00E65673" w:rsidRDefault="00E145EF" w:rsidP="00E65673">
      <w:pPr>
        <w:pStyle w:val="Heading2"/>
      </w:pPr>
      <w:r>
        <w:t>A</w:t>
      </w:r>
      <w:r w:rsidR="00FC5449">
        <w:t>ge at the start of induction</w:t>
      </w:r>
    </w:p>
    <w:p w14:paraId="2CB0C1E1" w14:textId="3263F116" w:rsidR="00FC5449" w:rsidRDefault="00FC5449" w:rsidP="00FC5449">
      <w:pPr>
        <w:pStyle w:val="Heading3"/>
      </w:pPr>
      <w:bookmarkStart w:id="14" w:name="_The_age_at"/>
      <w:bookmarkEnd w:id="14"/>
      <w:r>
        <w:t xml:space="preserve">The age </w:t>
      </w:r>
      <w:r w:rsidR="001348A2">
        <w:t xml:space="preserve">of the patient </w:t>
      </w:r>
      <w:r>
        <w:t xml:space="preserve">at the start of induction should be based on </w:t>
      </w:r>
      <w:r w:rsidR="002A0539">
        <w:t>epidemiological</w:t>
      </w:r>
      <w:r>
        <w:t xml:space="preserve"> evidence</w:t>
      </w:r>
    </w:p>
    <w:p w14:paraId="18901A2E" w14:textId="52F289D3" w:rsidR="00FC5449" w:rsidRPr="00FC5449" w:rsidRDefault="00FC5449" w:rsidP="00FC5449">
      <w:pPr>
        <w:pStyle w:val="Numberedlevel2text"/>
      </w:pPr>
      <w:r>
        <w:rPr>
          <w:lang w:val="en-GB"/>
        </w:rPr>
        <w:t>The company used a mean age of 56.6</w:t>
      </w:r>
      <w:r w:rsidR="004C3B55">
        <w:rPr>
          <w:lang w:val="en-GB"/>
        </w:rPr>
        <w:t> </w:t>
      </w:r>
      <w:r>
        <w:rPr>
          <w:lang w:val="en-GB"/>
        </w:rPr>
        <w:t xml:space="preserve">years at the start of induction in its economic model, taken from CASSIOPEIA. The ERG considered that this </w:t>
      </w:r>
      <w:r>
        <w:rPr>
          <w:lang w:val="en-GB"/>
        </w:rPr>
        <w:lastRenderedPageBreak/>
        <w:t xml:space="preserve">did not reflect NHS clinical practice, </w:t>
      </w:r>
      <w:r w:rsidR="004C3B55">
        <w:rPr>
          <w:lang w:val="en-GB"/>
        </w:rPr>
        <w:t xml:space="preserve">because </w:t>
      </w:r>
      <w:r>
        <w:rPr>
          <w:lang w:val="en-GB"/>
        </w:rPr>
        <w:t xml:space="preserve">CASSIOPEIA excluded patients aged </w:t>
      </w:r>
      <w:r w:rsidR="00FE31EA">
        <w:rPr>
          <w:lang w:val="en-GB"/>
        </w:rPr>
        <w:t>over 65</w:t>
      </w:r>
      <w:r>
        <w:rPr>
          <w:lang w:val="en-GB"/>
        </w:rPr>
        <w:t xml:space="preserve">. Real-world evidence from Public Health England suggested that many people with newly diagnosed multiple myeloma who are eligible for transplant are </w:t>
      </w:r>
      <w:r w:rsidR="00FE31EA">
        <w:rPr>
          <w:lang w:val="en-GB"/>
        </w:rPr>
        <w:t>aged over 65</w:t>
      </w:r>
      <w:r>
        <w:rPr>
          <w:lang w:val="en-GB"/>
        </w:rPr>
        <w:t>. As such, the ERG preferred to use the mean age at diagnosis from the Public Health England data</w:t>
      </w:r>
      <w:r w:rsidR="001A4E20">
        <w:rPr>
          <w:lang w:val="en-GB"/>
        </w:rPr>
        <w:t>, which was higher than the company’s estimate</w:t>
      </w:r>
      <w:r>
        <w:rPr>
          <w:lang w:val="en-GB"/>
        </w:rPr>
        <w:t xml:space="preserve">. The committee agreed that the mean age </w:t>
      </w:r>
      <w:r w:rsidR="00B0350D">
        <w:rPr>
          <w:lang w:val="en-GB"/>
        </w:rPr>
        <w:t>from</w:t>
      </w:r>
      <w:r>
        <w:rPr>
          <w:lang w:val="en-GB"/>
        </w:rPr>
        <w:t xml:space="preserve"> the Public Health England data better reflect</w:t>
      </w:r>
      <w:r w:rsidR="00B0350D">
        <w:rPr>
          <w:lang w:val="en-GB"/>
        </w:rPr>
        <w:t>ed</w:t>
      </w:r>
      <w:r>
        <w:rPr>
          <w:lang w:val="en-GB"/>
        </w:rPr>
        <w:t xml:space="preserve"> NHS clinical practice and should be used in the economic model.</w:t>
      </w:r>
    </w:p>
    <w:p w14:paraId="51CBE3CD" w14:textId="5E6F9384" w:rsidR="00FC5449" w:rsidRDefault="00FC5449" w:rsidP="00FC5449">
      <w:pPr>
        <w:pStyle w:val="Heading2"/>
      </w:pPr>
      <w:r>
        <w:t>Costs of subsequent treatments</w:t>
      </w:r>
    </w:p>
    <w:p w14:paraId="797B1E38" w14:textId="2343F54B" w:rsidR="00FC5449" w:rsidRDefault="00FC5449" w:rsidP="00FC5449">
      <w:pPr>
        <w:pStyle w:val="Heading3"/>
      </w:pPr>
      <w:bookmarkStart w:id="15" w:name="_Panobinostat_plus_bortezomib"/>
      <w:bookmarkEnd w:id="15"/>
      <w:r>
        <w:t xml:space="preserve">Panobinostat plus </w:t>
      </w:r>
      <w:r w:rsidR="00B0350D">
        <w:t xml:space="preserve">bortezomib </w:t>
      </w:r>
      <w:r w:rsidR="000F14B8">
        <w:t xml:space="preserve">and </w:t>
      </w:r>
      <w:r w:rsidR="00B0350D">
        <w:t>dexamethasone should not be included as a subsequent treatment</w:t>
      </w:r>
      <w:r w:rsidR="00FC3F46">
        <w:t xml:space="preserve"> at third or fourth line</w:t>
      </w:r>
    </w:p>
    <w:p w14:paraId="4268745C" w14:textId="17569FEF" w:rsidR="00B0350D" w:rsidRPr="00B0350D" w:rsidRDefault="00B0350D" w:rsidP="00B0350D">
      <w:pPr>
        <w:pStyle w:val="Numberedlevel2text"/>
      </w:pPr>
      <w:r>
        <w:rPr>
          <w:lang w:val="en-GB"/>
        </w:rPr>
        <w:t xml:space="preserve">The company’s model included the costs of second-, third- and fourth-line treatments given after consolidation therapy. The </w:t>
      </w:r>
      <w:hyperlink r:id="rId15" w:history="1">
        <w:r w:rsidRPr="00B0350D">
          <w:rPr>
            <w:rStyle w:val="Hyperlink"/>
            <w:lang w:val="en-GB"/>
          </w:rPr>
          <w:t>NICE Cancer Drugs Fund position statement</w:t>
        </w:r>
      </w:hyperlink>
      <w:r>
        <w:rPr>
          <w:lang w:val="en-GB"/>
        </w:rPr>
        <w:t xml:space="preserve"> specifies that companies should not include treatments recommended for use in the Cancer Drugs Fund as treatment sequence products in their economic modelling</w:t>
      </w:r>
      <w:r w:rsidR="002A0539">
        <w:rPr>
          <w:lang w:val="en-GB"/>
        </w:rPr>
        <w:t xml:space="preserve"> </w:t>
      </w:r>
      <w:r w:rsidRPr="00B0350D">
        <w:rPr>
          <w:lang w:val="en-GB"/>
        </w:rPr>
        <w:t>because they do not yet reflect routine NHS practice.</w:t>
      </w:r>
      <w:r>
        <w:rPr>
          <w:lang w:val="en-GB"/>
        </w:rPr>
        <w:t xml:space="preserve"> To reflect this, the company omitted treatments recommended for use in the Cancer Drugs Fund as subsequent treatments in its base case. It assumed that </w:t>
      </w:r>
      <w:r w:rsidR="00FC3F46">
        <w:rPr>
          <w:lang w:val="en-GB"/>
        </w:rPr>
        <w:t xml:space="preserve">around 45% of people would have panobinostat plus </w:t>
      </w:r>
      <w:r w:rsidR="00FC3F46" w:rsidRPr="00FC3F46">
        <w:rPr>
          <w:lang w:val="en-GB"/>
        </w:rPr>
        <w:t xml:space="preserve">bortezomib </w:t>
      </w:r>
      <w:r w:rsidR="000F14B8">
        <w:rPr>
          <w:lang w:val="en-GB"/>
        </w:rPr>
        <w:t>and</w:t>
      </w:r>
      <w:r w:rsidR="000F14B8" w:rsidRPr="00FC3F46">
        <w:rPr>
          <w:lang w:val="en-GB"/>
        </w:rPr>
        <w:t xml:space="preserve"> </w:t>
      </w:r>
      <w:r w:rsidR="00FC3F46" w:rsidRPr="00FC3F46">
        <w:rPr>
          <w:lang w:val="en-GB"/>
        </w:rPr>
        <w:t>dexamethasone</w:t>
      </w:r>
      <w:r w:rsidR="00FC3F46">
        <w:rPr>
          <w:lang w:val="en-GB"/>
        </w:rPr>
        <w:t xml:space="preserve"> as their third-line treatment. However, the ERG understood that this regimen is rarely used in third or fourth</w:t>
      </w:r>
      <w:r w:rsidR="004263B0">
        <w:rPr>
          <w:lang w:val="en-GB"/>
        </w:rPr>
        <w:t xml:space="preserve"> </w:t>
      </w:r>
      <w:r w:rsidR="00FC3F46">
        <w:rPr>
          <w:lang w:val="en-GB"/>
        </w:rPr>
        <w:t xml:space="preserve">line </w:t>
      </w:r>
      <w:r w:rsidR="000F14B8">
        <w:rPr>
          <w:lang w:val="en-GB"/>
        </w:rPr>
        <w:t>because of</w:t>
      </w:r>
      <w:r w:rsidR="00FC3F46">
        <w:rPr>
          <w:lang w:val="en-GB"/>
        </w:rPr>
        <w:t xml:space="preserve"> its poor tolerability, and is mainly used in later lines. The clinical experts agreed, stating that they tended to avoid offering </w:t>
      </w:r>
      <w:r w:rsidR="00FC3F46" w:rsidRPr="00FC3F46">
        <w:rPr>
          <w:lang w:val="en-GB"/>
        </w:rPr>
        <w:t>panobinostat</w:t>
      </w:r>
      <w:r w:rsidR="00FC3F46">
        <w:rPr>
          <w:lang w:val="en-GB"/>
        </w:rPr>
        <w:t xml:space="preserve">. The committee concluded that panobinostat plus bortezomib </w:t>
      </w:r>
      <w:r w:rsidR="000F14B8">
        <w:rPr>
          <w:lang w:val="en-GB"/>
        </w:rPr>
        <w:t xml:space="preserve">and </w:t>
      </w:r>
      <w:r w:rsidR="00FC3F46">
        <w:rPr>
          <w:lang w:val="en-GB"/>
        </w:rPr>
        <w:t>dexamethasone should not be included as a third- or fourth-line treatment in the model.</w:t>
      </w:r>
    </w:p>
    <w:p w14:paraId="546B0385" w14:textId="7801EC52" w:rsidR="00643582" w:rsidRDefault="00E145EF" w:rsidP="00E145EF">
      <w:pPr>
        <w:pStyle w:val="Heading2"/>
      </w:pPr>
      <w:r>
        <w:lastRenderedPageBreak/>
        <w:t>Cost-effectiveness results</w:t>
      </w:r>
    </w:p>
    <w:p w14:paraId="7CD3F774" w14:textId="62910FEE" w:rsidR="00E145EF" w:rsidRPr="00E145EF" w:rsidRDefault="005D0E49" w:rsidP="00E145EF">
      <w:pPr>
        <w:pStyle w:val="Heading3"/>
      </w:pPr>
      <w:r>
        <w:t>The most plausible cost-effectiveness estimate is above the range usually considered a cost-effective use of NHS resources</w:t>
      </w:r>
    </w:p>
    <w:p w14:paraId="75D44098" w14:textId="77270BAB" w:rsidR="00E145EF" w:rsidRPr="00E145EF" w:rsidRDefault="00E145EF" w:rsidP="00E145EF">
      <w:pPr>
        <w:pStyle w:val="Numberedlevel2text"/>
      </w:pPr>
      <w:r>
        <w:rPr>
          <w:lang w:val="en-GB"/>
        </w:rPr>
        <w:t>The committee recalled that its preferred assumptions were:</w:t>
      </w:r>
    </w:p>
    <w:p w14:paraId="192E5D78" w14:textId="54E4AC92" w:rsidR="001B1344" w:rsidRPr="001B1344" w:rsidRDefault="001B1344" w:rsidP="004335B6">
      <w:pPr>
        <w:pStyle w:val="Numberedlevel2text"/>
        <w:numPr>
          <w:ilvl w:val="0"/>
          <w:numId w:val="32"/>
        </w:numPr>
        <w:spacing w:after="120"/>
        <w:ind w:left="1797" w:hanging="357"/>
      </w:pPr>
      <w:r>
        <w:rPr>
          <w:lang w:val="en-GB"/>
        </w:rPr>
        <w:t>using a</w:t>
      </w:r>
      <w:r w:rsidR="00355AA5">
        <w:rPr>
          <w:lang w:val="en-GB"/>
        </w:rPr>
        <w:t xml:space="preserve">n </w:t>
      </w:r>
      <w:r>
        <w:rPr>
          <w:lang w:val="en-GB"/>
        </w:rPr>
        <w:t xml:space="preserve">approach </w:t>
      </w:r>
      <w:r w:rsidR="00355AA5">
        <w:rPr>
          <w:lang w:val="en-GB"/>
        </w:rPr>
        <w:t xml:space="preserve">less subject to bias </w:t>
      </w:r>
      <w:r w:rsidR="000500D5">
        <w:rPr>
          <w:lang w:val="en-GB"/>
        </w:rPr>
        <w:t xml:space="preserve">than </w:t>
      </w:r>
      <w:r>
        <w:rPr>
          <w:lang w:val="en-GB"/>
        </w:rPr>
        <w:t xml:space="preserve">simple censoring to adjust the landmark analysis for re-randomisation to daratumumab maintenance (see </w:t>
      </w:r>
      <w:hyperlink w:anchor="_The_company’s_censored" w:history="1">
        <w:r w:rsidRPr="00A54B4C">
          <w:rPr>
            <w:rStyle w:val="Hyperlink"/>
            <w:lang w:val="en-GB"/>
          </w:rPr>
          <w:t xml:space="preserve">section </w:t>
        </w:r>
        <w:r w:rsidR="00A54B4C" w:rsidRPr="00A54B4C">
          <w:rPr>
            <w:rStyle w:val="Hyperlink"/>
            <w:lang w:val="en-GB"/>
          </w:rPr>
          <w:t>3.6</w:t>
        </w:r>
      </w:hyperlink>
      <w:r>
        <w:rPr>
          <w:lang w:val="en-GB"/>
        </w:rPr>
        <w:t>)</w:t>
      </w:r>
    </w:p>
    <w:p w14:paraId="2FF786C0" w14:textId="1A22DF34" w:rsidR="00E145EF" w:rsidRPr="004335B6" w:rsidRDefault="004335B6" w:rsidP="004335B6">
      <w:pPr>
        <w:pStyle w:val="Numberedlevel2text"/>
        <w:numPr>
          <w:ilvl w:val="0"/>
          <w:numId w:val="32"/>
        </w:numPr>
        <w:spacing w:after="120"/>
        <w:ind w:left="1797" w:hanging="357"/>
      </w:pPr>
      <w:r>
        <w:rPr>
          <w:lang w:val="en-GB"/>
        </w:rPr>
        <w:t>a treatment effect lasting 5 to 10</w:t>
      </w:r>
      <w:r w:rsidR="000F14B8">
        <w:rPr>
          <w:lang w:val="en-GB"/>
        </w:rPr>
        <w:t> </w:t>
      </w:r>
      <w:r>
        <w:rPr>
          <w:lang w:val="en-GB"/>
        </w:rPr>
        <w:t xml:space="preserve">years after consolidation therapy (see </w:t>
      </w:r>
      <w:hyperlink w:anchor="_Treatment_waning_should" w:history="1">
        <w:r w:rsidRPr="005C24C9">
          <w:rPr>
            <w:rStyle w:val="Hyperlink"/>
            <w:lang w:val="en-GB"/>
          </w:rPr>
          <w:t xml:space="preserve">section </w:t>
        </w:r>
        <w:r w:rsidR="005C24C9" w:rsidRPr="005C24C9">
          <w:rPr>
            <w:rStyle w:val="Hyperlink"/>
            <w:lang w:val="en-GB"/>
          </w:rPr>
          <w:t>3.14</w:t>
        </w:r>
      </w:hyperlink>
      <w:r>
        <w:rPr>
          <w:lang w:val="en-GB"/>
        </w:rPr>
        <w:t>)</w:t>
      </w:r>
    </w:p>
    <w:p w14:paraId="01286A78" w14:textId="4E5EE4FF" w:rsidR="004335B6" w:rsidRPr="004335B6" w:rsidRDefault="004335B6" w:rsidP="004335B6">
      <w:pPr>
        <w:pStyle w:val="Numberedlevel2text"/>
        <w:numPr>
          <w:ilvl w:val="0"/>
          <w:numId w:val="32"/>
        </w:numPr>
        <w:spacing w:after="120"/>
        <w:ind w:left="1797" w:hanging="357"/>
      </w:pPr>
      <w:r>
        <w:rPr>
          <w:lang w:val="en-GB"/>
        </w:rPr>
        <w:t xml:space="preserve">a mean </w:t>
      </w:r>
      <w:r w:rsidR="001A4E20">
        <w:rPr>
          <w:lang w:val="en-GB"/>
        </w:rPr>
        <w:t xml:space="preserve">age </w:t>
      </w:r>
      <w:r>
        <w:rPr>
          <w:lang w:val="en-GB"/>
        </w:rPr>
        <w:t xml:space="preserve">at the start of induction based on the real-world evidence from Public Health England (see </w:t>
      </w:r>
      <w:hyperlink w:anchor="_The_age_at" w:history="1">
        <w:r w:rsidRPr="005C24C9">
          <w:rPr>
            <w:rStyle w:val="Hyperlink"/>
            <w:lang w:val="en-GB"/>
          </w:rPr>
          <w:t xml:space="preserve">section </w:t>
        </w:r>
        <w:r w:rsidR="005C24C9" w:rsidRPr="005C24C9">
          <w:rPr>
            <w:rStyle w:val="Hyperlink"/>
            <w:lang w:val="en-GB"/>
          </w:rPr>
          <w:t>3.15</w:t>
        </w:r>
      </w:hyperlink>
      <w:r>
        <w:rPr>
          <w:lang w:val="en-GB"/>
        </w:rPr>
        <w:t>)</w:t>
      </w:r>
    </w:p>
    <w:p w14:paraId="18BD7E01" w14:textId="5E2780FE" w:rsidR="004335B6" w:rsidRPr="004335B6" w:rsidRDefault="004335B6" w:rsidP="0031562C">
      <w:pPr>
        <w:pStyle w:val="Numberedlevel2text"/>
        <w:numPr>
          <w:ilvl w:val="0"/>
          <w:numId w:val="32"/>
        </w:numPr>
        <w:ind w:left="1797" w:hanging="357"/>
      </w:pPr>
      <w:r>
        <w:rPr>
          <w:lang w:val="en-GB"/>
        </w:rPr>
        <w:t>omitting p</w:t>
      </w:r>
      <w:r w:rsidRPr="004335B6">
        <w:rPr>
          <w:lang w:val="en-GB"/>
        </w:rPr>
        <w:t xml:space="preserve">anobinostat plus bortezomib </w:t>
      </w:r>
      <w:r w:rsidR="000F14B8">
        <w:rPr>
          <w:lang w:val="en-GB"/>
        </w:rPr>
        <w:t>and</w:t>
      </w:r>
      <w:r w:rsidR="000F14B8" w:rsidRPr="004335B6">
        <w:rPr>
          <w:lang w:val="en-GB"/>
        </w:rPr>
        <w:t xml:space="preserve"> </w:t>
      </w:r>
      <w:r w:rsidRPr="004335B6">
        <w:rPr>
          <w:lang w:val="en-GB"/>
        </w:rPr>
        <w:t>dexamethasone</w:t>
      </w:r>
      <w:r>
        <w:rPr>
          <w:lang w:val="en-GB"/>
        </w:rPr>
        <w:t xml:space="preserve"> as a subsequent treatment</w:t>
      </w:r>
      <w:r w:rsidR="0031562C">
        <w:rPr>
          <w:lang w:val="en-GB"/>
        </w:rPr>
        <w:t xml:space="preserve"> at third or fourth</w:t>
      </w:r>
      <w:r w:rsidR="004263B0">
        <w:rPr>
          <w:lang w:val="en-GB"/>
        </w:rPr>
        <w:t xml:space="preserve"> </w:t>
      </w:r>
      <w:r w:rsidR="0031562C">
        <w:rPr>
          <w:lang w:val="en-GB"/>
        </w:rPr>
        <w:t>line</w:t>
      </w:r>
      <w:r>
        <w:rPr>
          <w:lang w:val="en-GB"/>
        </w:rPr>
        <w:t xml:space="preserve"> (see </w:t>
      </w:r>
      <w:hyperlink w:anchor="_Panobinostat_plus_bortezomib" w:history="1">
        <w:r w:rsidRPr="005C24C9">
          <w:rPr>
            <w:rStyle w:val="Hyperlink"/>
            <w:lang w:val="en-GB"/>
          </w:rPr>
          <w:t xml:space="preserve">section </w:t>
        </w:r>
        <w:r w:rsidR="005C24C9" w:rsidRPr="005C24C9">
          <w:rPr>
            <w:rStyle w:val="Hyperlink"/>
            <w:lang w:val="en-GB"/>
          </w:rPr>
          <w:t>3.16</w:t>
        </w:r>
      </w:hyperlink>
      <w:r>
        <w:rPr>
          <w:lang w:val="en-GB"/>
        </w:rPr>
        <w:t>)</w:t>
      </w:r>
      <w:r w:rsidR="00BB11FC">
        <w:rPr>
          <w:lang w:val="en-GB"/>
        </w:rPr>
        <w:t>.</w:t>
      </w:r>
    </w:p>
    <w:p w14:paraId="24014873" w14:textId="0FE5D967" w:rsidR="00E35B77" w:rsidRDefault="0031562C" w:rsidP="00320174">
      <w:pPr>
        <w:pStyle w:val="Numberedlevel2text"/>
        <w:numPr>
          <w:ilvl w:val="0"/>
          <w:numId w:val="0"/>
        </w:numPr>
        <w:spacing w:after="120"/>
        <w:ind w:left="1134"/>
        <w:rPr>
          <w:lang w:val="en-GB"/>
        </w:rPr>
      </w:pPr>
      <w:r>
        <w:rPr>
          <w:lang w:val="en-GB"/>
        </w:rPr>
        <w:t xml:space="preserve">The cost-effectiveness </w:t>
      </w:r>
      <w:r w:rsidR="00FF374C">
        <w:rPr>
          <w:lang w:val="en-GB"/>
        </w:rPr>
        <w:t xml:space="preserve">results are commercial in confidence because they included confidential </w:t>
      </w:r>
      <w:r w:rsidR="00583F11">
        <w:rPr>
          <w:lang w:val="en-GB"/>
        </w:rPr>
        <w:t>discounts</w:t>
      </w:r>
      <w:r w:rsidR="00FF374C">
        <w:rPr>
          <w:lang w:val="en-GB"/>
        </w:rPr>
        <w:t xml:space="preserve"> for daratumumab, bortezomib, dexamethasone and some of the follow-on treatments in the model.</w:t>
      </w:r>
      <w:r w:rsidR="00320174">
        <w:rPr>
          <w:lang w:val="en-GB"/>
        </w:rPr>
        <w:t xml:space="preserve"> </w:t>
      </w:r>
      <w:r w:rsidR="00E35B77" w:rsidRPr="00E35B77">
        <w:rPr>
          <w:lang w:val="en-GB"/>
        </w:rPr>
        <w:t xml:space="preserve">The committee noted </w:t>
      </w:r>
      <w:r w:rsidR="00A35BCA">
        <w:rPr>
          <w:lang w:val="en-GB"/>
        </w:rPr>
        <w:t>the uncertainties</w:t>
      </w:r>
      <w:r w:rsidR="00E35B77">
        <w:rPr>
          <w:lang w:val="en-GB"/>
        </w:rPr>
        <w:t xml:space="preserve"> in the modelling</w:t>
      </w:r>
      <w:r w:rsidR="00E35B77" w:rsidRPr="00E35B77">
        <w:rPr>
          <w:lang w:val="en-GB"/>
        </w:rPr>
        <w:t>, specifically:</w:t>
      </w:r>
    </w:p>
    <w:p w14:paraId="538C73A0" w14:textId="087CA95D" w:rsidR="00E35B77" w:rsidRDefault="00E35B77" w:rsidP="00E35B77">
      <w:pPr>
        <w:pStyle w:val="Numberedlevel2text"/>
        <w:numPr>
          <w:ilvl w:val="0"/>
          <w:numId w:val="33"/>
        </w:numPr>
        <w:spacing w:after="120"/>
        <w:rPr>
          <w:lang w:val="en-GB"/>
        </w:rPr>
      </w:pPr>
      <w:r>
        <w:rPr>
          <w:lang w:val="en-GB"/>
        </w:rPr>
        <w:t>the duration of the daratumumab treatment effect</w:t>
      </w:r>
    </w:p>
    <w:p w14:paraId="037FDC55" w14:textId="2C8C89F5" w:rsidR="00E35B77" w:rsidRDefault="00E35B77" w:rsidP="00E35B77">
      <w:pPr>
        <w:pStyle w:val="Numberedlevel2text"/>
        <w:numPr>
          <w:ilvl w:val="0"/>
          <w:numId w:val="33"/>
        </w:numPr>
        <w:spacing w:after="120"/>
        <w:rPr>
          <w:lang w:val="en-GB"/>
        </w:rPr>
      </w:pPr>
      <w:r>
        <w:rPr>
          <w:lang w:val="en-GB"/>
        </w:rPr>
        <w:t xml:space="preserve">the potential </w:t>
      </w:r>
      <w:r w:rsidR="00B26439">
        <w:rPr>
          <w:lang w:val="en-GB"/>
        </w:rPr>
        <w:t xml:space="preserve">effect </w:t>
      </w:r>
      <w:r>
        <w:rPr>
          <w:lang w:val="en-GB"/>
        </w:rPr>
        <w:t>of lenalidomide maintenance, which was now widely used in the NHS</w:t>
      </w:r>
    </w:p>
    <w:p w14:paraId="4335F806" w14:textId="2695553F" w:rsidR="00026E84" w:rsidRDefault="00B26439" w:rsidP="00E35B77">
      <w:pPr>
        <w:pStyle w:val="Numberedlevel2text"/>
        <w:numPr>
          <w:ilvl w:val="0"/>
          <w:numId w:val="33"/>
        </w:numPr>
        <w:spacing w:after="120"/>
        <w:rPr>
          <w:lang w:val="en-GB"/>
        </w:rPr>
      </w:pPr>
      <w:r>
        <w:rPr>
          <w:lang w:val="en-GB"/>
        </w:rPr>
        <w:t xml:space="preserve">if </w:t>
      </w:r>
      <w:r w:rsidR="00026E84">
        <w:rPr>
          <w:lang w:val="en-GB"/>
        </w:rPr>
        <w:t>minimal residual disease negativity better predicts long-term survival outcomes than stringent complete response, the primary outcome in CASSIOPEIA</w:t>
      </w:r>
    </w:p>
    <w:p w14:paraId="0EA2F9FD" w14:textId="23E7884E" w:rsidR="00314157" w:rsidRDefault="00E35B77" w:rsidP="00BB11FC">
      <w:pPr>
        <w:pStyle w:val="Numberedlevel2text"/>
        <w:numPr>
          <w:ilvl w:val="0"/>
          <w:numId w:val="33"/>
        </w:numPr>
        <w:spacing w:after="120"/>
        <w:ind w:left="1797" w:hanging="357"/>
        <w:rPr>
          <w:lang w:val="en-GB"/>
        </w:rPr>
      </w:pPr>
      <w:r>
        <w:rPr>
          <w:lang w:val="en-GB"/>
        </w:rPr>
        <w:t xml:space="preserve">the possible bias introduced into the landmark analysis by censoring to adjust for re-randomisation to </w:t>
      </w:r>
      <w:r w:rsidR="00A8247A">
        <w:rPr>
          <w:lang w:val="en-GB"/>
        </w:rPr>
        <w:t xml:space="preserve">daratumumab </w:t>
      </w:r>
      <w:r>
        <w:rPr>
          <w:lang w:val="en-GB"/>
        </w:rPr>
        <w:t>maintenance</w:t>
      </w:r>
    </w:p>
    <w:p w14:paraId="7C91EF37" w14:textId="0B028938" w:rsidR="00D669DA" w:rsidRDefault="00B26439" w:rsidP="001A4E20">
      <w:pPr>
        <w:pStyle w:val="Numberedlevel2text"/>
        <w:numPr>
          <w:ilvl w:val="0"/>
          <w:numId w:val="33"/>
        </w:numPr>
        <w:ind w:left="1797" w:hanging="357"/>
        <w:rPr>
          <w:lang w:val="en-GB"/>
        </w:rPr>
      </w:pPr>
      <w:r>
        <w:rPr>
          <w:lang w:val="en-GB"/>
        </w:rPr>
        <w:t xml:space="preserve">if showing </w:t>
      </w:r>
      <w:r w:rsidR="00D669DA">
        <w:rPr>
          <w:lang w:val="en-GB"/>
        </w:rPr>
        <w:t>cost</w:t>
      </w:r>
      <w:r>
        <w:rPr>
          <w:lang w:val="en-GB"/>
        </w:rPr>
        <w:t xml:space="preserve"> </w:t>
      </w:r>
      <w:r w:rsidR="00D669DA">
        <w:rPr>
          <w:lang w:val="en-GB"/>
        </w:rPr>
        <w:t xml:space="preserve">effectiveness </w:t>
      </w:r>
      <w:r w:rsidR="000500D5">
        <w:rPr>
          <w:lang w:val="en-GB"/>
        </w:rPr>
        <w:t xml:space="preserve">compared with </w:t>
      </w:r>
      <w:r w:rsidR="00D669DA" w:rsidRPr="00D669DA">
        <w:rPr>
          <w:lang w:val="en-GB"/>
        </w:rPr>
        <w:t xml:space="preserve">bortezomib plus thalidomide </w:t>
      </w:r>
      <w:r>
        <w:rPr>
          <w:lang w:val="en-GB"/>
        </w:rPr>
        <w:t>and</w:t>
      </w:r>
      <w:r w:rsidRPr="00D669DA">
        <w:rPr>
          <w:lang w:val="en-GB"/>
        </w:rPr>
        <w:t xml:space="preserve"> </w:t>
      </w:r>
      <w:r w:rsidR="00D669DA" w:rsidRPr="00D669DA">
        <w:rPr>
          <w:lang w:val="en-GB"/>
        </w:rPr>
        <w:t>dexamethasone</w:t>
      </w:r>
      <w:r w:rsidR="00D669DA">
        <w:rPr>
          <w:lang w:val="en-GB"/>
        </w:rPr>
        <w:t xml:space="preserve"> would necessarily mean that cost</w:t>
      </w:r>
      <w:r>
        <w:rPr>
          <w:lang w:val="en-GB"/>
        </w:rPr>
        <w:t xml:space="preserve"> </w:t>
      </w:r>
      <w:r w:rsidR="00D669DA">
        <w:rPr>
          <w:lang w:val="en-GB"/>
        </w:rPr>
        <w:lastRenderedPageBreak/>
        <w:t xml:space="preserve">effectiveness is </w:t>
      </w:r>
      <w:r>
        <w:rPr>
          <w:lang w:val="en-GB"/>
        </w:rPr>
        <w:t xml:space="preserve">shown compared with </w:t>
      </w:r>
      <w:r w:rsidR="00D669DA">
        <w:rPr>
          <w:lang w:val="en-GB"/>
        </w:rPr>
        <w:t>bortezomib plus dexamethasone.</w:t>
      </w:r>
    </w:p>
    <w:p w14:paraId="3ADCE2AD" w14:textId="792BE222" w:rsidR="00375430" w:rsidRDefault="00375430" w:rsidP="004335B6">
      <w:pPr>
        <w:pStyle w:val="Numberedlevel2text"/>
        <w:numPr>
          <w:ilvl w:val="0"/>
          <w:numId w:val="0"/>
        </w:numPr>
        <w:spacing w:after="120"/>
        <w:ind w:left="1134"/>
        <w:rPr>
          <w:lang w:val="en-GB"/>
        </w:rPr>
      </w:pPr>
      <w:r>
        <w:rPr>
          <w:lang w:val="en-GB"/>
        </w:rPr>
        <w:t>The committee considered that it would have liked to see cost-effectiveness results based on the following scenarios</w:t>
      </w:r>
      <w:r w:rsidR="00355AA5">
        <w:rPr>
          <w:lang w:val="en-GB"/>
        </w:rPr>
        <w:t>, to reduce the uncertainty</w:t>
      </w:r>
      <w:r>
        <w:rPr>
          <w:lang w:val="en-GB"/>
        </w:rPr>
        <w:t>:</w:t>
      </w:r>
    </w:p>
    <w:p w14:paraId="2385E143" w14:textId="678EB182" w:rsidR="00375430" w:rsidRPr="00153F93" w:rsidRDefault="00375430" w:rsidP="00375430">
      <w:pPr>
        <w:pStyle w:val="Numberedlevel2text"/>
        <w:numPr>
          <w:ilvl w:val="0"/>
          <w:numId w:val="32"/>
        </w:numPr>
        <w:spacing w:after="120"/>
        <w:ind w:left="1797" w:hanging="357"/>
      </w:pPr>
      <w:r>
        <w:rPr>
          <w:lang w:val="en-GB"/>
        </w:rPr>
        <w:t xml:space="preserve">a scenario incorporating </w:t>
      </w:r>
      <w:r w:rsidRPr="00C27F80">
        <w:rPr>
          <w:lang w:val="en-GB"/>
        </w:rPr>
        <w:t>lenalidomide maintenance</w:t>
      </w:r>
      <w:r>
        <w:rPr>
          <w:lang w:val="en-GB"/>
        </w:rPr>
        <w:t xml:space="preserve"> as a subsequent treatment to reflect current </w:t>
      </w:r>
      <w:r w:rsidRPr="00C27F80">
        <w:rPr>
          <w:lang w:val="en-GB"/>
        </w:rPr>
        <w:t>NHS clinical practice</w:t>
      </w:r>
      <w:r>
        <w:rPr>
          <w:lang w:val="en-GB"/>
        </w:rPr>
        <w:t xml:space="preserve"> (see </w:t>
      </w:r>
      <w:hyperlink w:anchor="_Lenalidomide_maintenance_is" w:history="1">
        <w:r w:rsidRPr="00C27F80">
          <w:rPr>
            <w:rStyle w:val="Hyperlink"/>
            <w:lang w:val="en-GB"/>
          </w:rPr>
          <w:t>section 3.4</w:t>
        </w:r>
      </w:hyperlink>
      <w:r>
        <w:rPr>
          <w:lang w:val="en-GB"/>
        </w:rPr>
        <w:t>)</w:t>
      </w:r>
    </w:p>
    <w:p w14:paraId="683CC787" w14:textId="07C17F28" w:rsidR="00375430" w:rsidRPr="00375430" w:rsidRDefault="00375430" w:rsidP="00153F93">
      <w:pPr>
        <w:pStyle w:val="Numberedlevel2text"/>
        <w:numPr>
          <w:ilvl w:val="0"/>
          <w:numId w:val="32"/>
        </w:numPr>
        <w:spacing w:after="120"/>
        <w:ind w:left="1797" w:hanging="357"/>
      </w:pPr>
      <w:r>
        <w:rPr>
          <w:lang w:val="en-GB"/>
        </w:rPr>
        <w:t xml:space="preserve">a scenario </w:t>
      </w:r>
      <w:r w:rsidRPr="00FD353D">
        <w:rPr>
          <w:lang w:val="en-GB"/>
        </w:rPr>
        <w:t xml:space="preserve">using a conventional approach of fitting </w:t>
      </w:r>
      <w:r>
        <w:rPr>
          <w:lang w:val="en-GB"/>
        </w:rPr>
        <w:t xml:space="preserve">progression-free and overall survival </w:t>
      </w:r>
      <w:r w:rsidRPr="00FD353D">
        <w:rPr>
          <w:lang w:val="en-GB"/>
        </w:rPr>
        <w:t>models directly to the ITT data from CASSIOPEIA</w:t>
      </w:r>
      <w:r>
        <w:rPr>
          <w:lang w:val="en-GB"/>
        </w:rPr>
        <w:t xml:space="preserve"> (see </w:t>
      </w:r>
      <w:hyperlink w:anchor="_It_is_unclear" w:history="1">
        <w:r w:rsidRPr="00FD353D">
          <w:rPr>
            <w:rStyle w:val="Hyperlink"/>
            <w:lang w:val="en-GB"/>
          </w:rPr>
          <w:t>section 3.</w:t>
        </w:r>
        <w:r>
          <w:rPr>
            <w:rStyle w:val="Hyperlink"/>
            <w:lang w:val="en-GB"/>
          </w:rPr>
          <w:t>10</w:t>
        </w:r>
      </w:hyperlink>
      <w:r>
        <w:rPr>
          <w:lang w:val="en-GB"/>
        </w:rPr>
        <w:t>)</w:t>
      </w:r>
      <w:r w:rsidR="00153F93">
        <w:rPr>
          <w:lang w:val="en-GB"/>
        </w:rPr>
        <w:t>.</w:t>
      </w:r>
    </w:p>
    <w:p w14:paraId="762A4CFF" w14:textId="2110FB50" w:rsidR="0031562C" w:rsidRDefault="00583F11" w:rsidP="004335B6">
      <w:pPr>
        <w:pStyle w:val="Numberedlevel2text"/>
        <w:numPr>
          <w:ilvl w:val="0"/>
          <w:numId w:val="0"/>
        </w:numPr>
        <w:spacing w:after="120"/>
        <w:ind w:left="1134"/>
        <w:rPr>
          <w:lang w:val="en-GB"/>
        </w:rPr>
      </w:pPr>
      <w:r>
        <w:rPr>
          <w:lang w:val="en-GB"/>
        </w:rPr>
        <w:t>I</w:t>
      </w:r>
      <w:r w:rsidR="00FF374C">
        <w:rPr>
          <w:lang w:val="en-GB"/>
        </w:rPr>
        <w:t>t concluded that, based on the current evidence,</w:t>
      </w:r>
      <w:r w:rsidR="005D0E49">
        <w:rPr>
          <w:lang w:val="en-GB"/>
        </w:rPr>
        <w:t xml:space="preserve"> the </w:t>
      </w:r>
      <w:r w:rsidR="00D669DA">
        <w:rPr>
          <w:lang w:val="en-GB"/>
        </w:rPr>
        <w:t>incremental cost-effectiveness ratio (</w:t>
      </w:r>
      <w:r w:rsidR="005D0E49">
        <w:rPr>
          <w:lang w:val="en-GB"/>
        </w:rPr>
        <w:t>ICER</w:t>
      </w:r>
      <w:r w:rsidR="00D669DA">
        <w:rPr>
          <w:lang w:val="en-GB"/>
        </w:rPr>
        <w:t>)</w:t>
      </w:r>
      <w:r w:rsidR="005D0E49">
        <w:rPr>
          <w:lang w:val="en-GB"/>
        </w:rPr>
        <w:t xml:space="preserve"> was likely to be closer to the ERG’s estimate. This was </w:t>
      </w:r>
      <w:r w:rsidR="003C4D1A">
        <w:rPr>
          <w:lang w:val="en-GB"/>
        </w:rPr>
        <w:t>above the upper end of the range normally considered a cost-effective use of NHS resources</w:t>
      </w:r>
      <w:r w:rsidR="005D0E49">
        <w:rPr>
          <w:lang w:val="en-GB"/>
        </w:rPr>
        <w:t xml:space="preserve"> </w:t>
      </w:r>
      <w:r w:rsidR="003C4D1A">
        <w:rPr>
          <w:lang w:val="en-GB"/>
        </w:rPr>
        <w:t>(</w:t>
      </w:r>
      <w:r w:rsidR="005D0E49">
        <w:rPr>
          <w:lang w:val="en-GB"/>
        </w:rPr>
        <w:t xml:space="preserve">£30,000 per quality-adjusted life year </w:t>
      </w:r>
      <w:r w:rsidR="003C4D1A">
        <w:rPr>
          <w:lang w:val="en-GB"/>
        </w:rPr>
        <w:t>[</w:t>
      </w:r>
      <w:r w:rsidR="005D0E49">
        <w:rPr>
          <w:lang w:val="en-GB"/>
        </w:rPr>
        <w:t>QALY</w:t>
      </w:r>
      <w:r w:rsidR="003C4D1A">
        <w:rPr>
          <w:lang w:val="en-GB"/>
        </w:rPr>
        <w:t>]</w:t>
      </w:r>
      <w:r w:rsidR="005D0E49">
        <w:rPr>
          <w:lang w:val="en-GB"/>
        </w:rPr>
        <w:t xml:space="preserve"> gained</w:t>
      </w:r>
      <w:r w:rsidR="00320174">
        <w:rPr>
          <w:lang w:val="en-GB"/>
        </w:rPr>
        <w:t>)</w:t>
      </w:r>
      <w:r w:rsidR="005D0E49">
        <w:rPr>
          <w:lang w:val="en-GB"/>
        </w:rPr>
        <w:t xml:space="preserve">. The committee concluded that the cost-effectiveness estimate for daratumumab plus </w:t>
      </w:r>
      <w:r w:rsidR="005D0E49" w:rsidRPr="005D0E49">
        <w:rPr>
          <w:lang w:val="en-GB"/>
        </w:rPr>
        <w:t>bortezomib</w:t>
      </w:r>
      <w:r w:rsidR="00B26439">
        <w:rPr>
          <w:lang w:val="en-GB"/>
        </w:rPr>
        <w:t xml:space="preserve">, </w:t>
      </w:r>
      <w:r w:rsidR="005D0E49" w:rsidRPr="005D0E49">
        <w:rPr>
          <w:lang w:val="en-GB"/>
        </w:rPr>
        <w:t xml:space="preserve">thalidomide </w:t>
      </w:r>
      <w:r w:rsidR="00B26439">
        <w:rPr>
          <w:lang w:val="en-GB"/>
        </w:rPr>
        <w:t>and</w:t>
      </w:r>
      <w:r w:rsidR="00B26439" w:rsidRPr="005D0E49">
        <w:rPr>
          <w:lang w:val="en-GB"/>
        </w:rPr>
        <w:t xml:space="preserve"> </w:t>
      </w:r>
      <w:r w:rsidR="005D0E49" w:rsidRPr="005D0E49">
        <w:rPr>
          <w:lang w:val="en-GB"/>
        </w:rPr>
        <w:t>dexamethasone</w:t>
      </w:r>
      <w:r w:rsidR="005D0E49">
        <w:rPr>
          <w:lang w:val="en-GB"/>
        </w:rPr>
        <w:t xml:space="preserve"> was higher than what NICE normally considers a cost-effective use of NHS resources.</w:t>
      </w:r>
    </w:p>
    <w:p w14:paraId="1CA06D9A" w14:textId="734B2CF1" w:rsidR="00E145EF" w:rsidRDefault="005D0E49" w:rsidP="005D0E49">
      <w:pPr>
        <w:pStyle w:val="Heading2"/>
      </w:pPr>
      <w:r>
        <w:t>Other factors</w:t>
      </w:r>
    </w:p>
    <w:p w14:paraId="260806CC" w14:textId="2AE175BD" w:rsidR="005D0E49" w:rsidRPr="005D0E49" w:rsidRDefault="00034176" w:rsidP="005D0E49">
      <w:pPr>
        <w:pStyle w:val="Numberedlevel2text"/>
      </w:pPr>
      <w:r>
        <w:rPr>
          <w:lang w:val="en-GB"/>
        </w:rPr>
        <w:t>The ERG raised 2 potential</w:t>
      </w:r>
      <w:r w:rsidR="005D0E49">
        <w:rPr>
          <w:lang w:val="en-GB"/>
        </w:rPr>
        <w:t xml:space="preserve"> equalities issues</w:t>
      </w:r>
      <w:r>
        <w:rPr>
          <w:lang w:val="en-GB"/>
        </w:rPr>
        <w:t>. The first was that d</w:t>
      </w:r>
      <w:r w:rsidRPr="00034176">
        <w:rPr>
          <w:lang w:val="en-GB"/>
        </w:rPr>
        <w:t>aratumumab plus bortezomib</w:t>
      </w:r>
      <w:r w:rsidR="00B26439">
        <w:rPr>
          <w:lang w:val="en-GB"/>
        </w:rPr>
        <w:t xml:space="preserve">, </w:t>
      </w:r>
      <w:r w:rsidRPr="00034176">
        <w:rPr>
          <w:lang w:val="en-GB"/>
        </w:rPr>
        <w:t xml:space="preserve">thalidomide </w:t>
      </w:r>
      <w:r w:rsidR="00B26439">
        <w:rPr>
          <w:lang w:val="en-GB"/>
        </w:rPr>
        <w:t>and</w:t>
      </w:r>
      <w:r w:rsidR="00B26439" w:rsidRPr="00034176">
        <w:rPr>
          <w:lang w:val="en-GB"/>
        </w:rPr>
        <w:t xml:space="preserve"> </w:t>
      </w:r>
      <w:r w:rsidRPr="00034176">
        <w:rPr>
          <w:lang w:val="en-GB"/>
        </w:rPr>
        <w:t>dexamethasone</w:t>
      </w:r>
      <w:r>
        <w:rPr>
          <w:lang w:val="en-GB"/>
        </w:rPr>
        <w:t xml:space="preserve"> should not be restricted to people aged </w:t>
      </w:r>
      <w:r w:rsidR="00FE31EA">
        <w:rPr>
          <w:lang w:val="en-GB"/>
        </w:rPr>
        <w:t>up to</w:t>
      </w:r>
      <w:r w:rsidR="00B26439">
        <w:rPr>
          <w:lang w:val="en-GB"/>
        </w:rPr>
        <w:t> </w:t>
      </w:r>
      <w:r>
        <w:rPr>
          <w:lang w:val="en-GB"/>
        </w:rPr>
        <w:t>65 (which would reflect the inclusion criteria in CASSIOPEIA). The second was that m</w:t>
      </w:r>
      <w:r w:rsidRPr="00034176">
        <w:rPr>
          <w:lang w:val="en-GB"/>
        </w:rPr>
        <w:t xml:space="preserve">ultiple myeloma is more common in men than women, and </w:t>
      </w:r>
      <w:r>
        <w:rPr>
          <w:lang w:val="en-GB"/>
        </w:rPr>
        <w:t xml:space="preserve">it </w:t>
      </w:r>
      <w:r w:rsidRPr="00034176">
        <w:rPr>
          <w:lang w:val="en-GB"/>
        </w:rPr>
        <w:t>also has a higher incidence in people of African American family origin</w:t>
      </w:r>
      <w:r>
        <w:rPr>
          <w:lang w:val="en-GB"/>
        </w:rPr>
        <w:t xml:space="preserve">. </w:t>
      </w:r>
      <w:r w:rsidRPr="00034176">
        <w:rPr>
          <w:lang w:val="en-GB"/>
        </w:rPr>
        <w:t xml:space="preserve">The population considered by </w:t>
      </w:r>
      <w:r w:rsidR="00B26439">
        <w:rPr>
          <w:lang w:val="en-GB"/>
        </w:rPr>
        <w:t xml:space="preserve">the </w:t>
      </w:r>
      <w:r w:rsidRPr="00034176">
        <w:rPr>
          <w:lang w:val="en-GB"/>
        </w:rPr>
        <w:t xml:space="preserve">committee was not </w:t>
      </w:r>
      <w:r>
        <w:rPr>
          <w:lang w:val="en-GB"/>
        </w:rPr>
        <w:t>restricted</w:t>
      </w:r>
      <w:r w:rsidRPr="00034176">
        <w:rPr>
          <w:lang w:val="en-GB"/>
        </w:rPr>
        <w:t xml:space="preserve"> to people aged </w:t>
      </w:r>
      <w:r w:rsidR="00FE31EA">
        <w:rPr>
          <w:lang w:val="en-GB"/>
        </w:rPr>
        <w:t>up to</w:t>
      </w:r>
      <w:r w:rsidR="00B26439">
        <w:rPr>
          <w:lang w:val="en-GB"/>
        </w:rPr>
        <w:t> </w:t>
      </w:r>
      <w:r w:rsidRPr="00034176">
        <w:rPr>
          <w:lang w:val="en-GB"/>
        </w:rPr>
        <w:t>65</w:t>
      </w:r>
      <w:r>
        <w:rPr>
          <w:lang w:val="en-GB"/>
        </w:rPr>
        <w:t xml:space="preserve">. </w:t>
      </w:r>
      <w:r w:rsidRPr="00034176">
        <w:rPr>
          <w:lang w:val="en-GB"/>
        </w:rPr>
        <w:t>Issues related to differences in prevalence or incidence of a disease cannot be addressed in a technology appraisal.</w:t>
      </w:r>
    </w:p>
    <w:p w14:paraId="78EE7C3D" w14:textId="2CBC326B" w:rsidR="005D0E49" w:rsidRPr="005D0E49" w:rsidRDefault="005D0E49" w:rsidP="00A8247A">
      <w:pPr>
        <w:pStyle w:val="Numberedlevel2text"/>
      </w:pPr>
      <w:r>
        <w:rPr>
          <w:lang w:val="en-GB"/>
        </w:rPr>
        <w:lastRenderedPageBreak/>
        <w:t xml:space="preserve">The company </w:t>
      </w:r>
      <w:r w:rsidR="00E35B77">
        <w:rPr>
          <w:lang w:val="en-GB"/>
        </w:rPr>
        <w:t xml:space="preserve">stated the daratumumab was innovative because it </w:t>
      </w:r>
      <w:r w:rsidR="00E35B77" w:rsidRPr="00E35B77">
        <w:rPr>
          <w:lang w:val="en-GB"/>
        </w:rPr>
        <w:t>has a different mechanism of action from other available treatments for multiple myeloma</w:t>
      </w:r>
      <w:r w:rsidR="00E35B77">
        <w:rPr>
          <w:lang w:val="en-GB"/>
        </w:rPr>
        <w:t xml:space="preserve">. The committee agreed that </w:t>
      </w:r>
      <w:r w:rsidR="00A8247A">
        <w:rPr>
          <w:lang w:val="en-GB"/>
        </w:rPr>
        <w:t xml:space="preserve">there were likely to be </w:t>
      </w:r>
      <w:r w:rsidR="00E35B77" w:rsidRPr="00A8247A">
        <w:rPr>
          <w:lang w:val="en-GB"/>
        </w:rPr>
        <w:t>improvement</w:t>
      </w:r>
      <w:r w:rsidR="003C3804" w:rsidRPr="00A8247A">
        <w:rPr>
          <w:lang w:val="en-GB"/>
        </w:rPr>
        <w:t>s in survival with daratumumab plus bortezomib</w:t>
      </w:r>
      <w:r w:rsidR="00B26439">
        <w:rPr>
          <w:lang w:val="en-GB"/>
        </w:rPr>
        <w:t xml:space="preserve">, </w:t>
      </w:r>
      <w:r w:rsidR="003C3804" w:rsidRPr="00A8247A">
        <w:rPr>
          <w:lang w:val="en-GB"/>
        </w:rPr>
        <w:t xml:space="preserve">thalidomide </w:t>
      </w:r>
      <w:r w:rsidR="00B26439">
        <w:rPr>
          <w:lang w:val="en-GB"/>
        </w:rPr>
        <w:t>and</w:t>
      </w:r>
      <w:r w:rsidR="00B26439" w:rsidRPr="00A8247A">
        <w:rPr>
          <w:lang w:val="en-GB"/>
        </w:rPr>
        <w:t xml:space="preserve"> </w:t>
      </w:r>
      <w:r w:rsidR="003C3804" w:rsidRPr="00A8247A">
        <w:rPr>
          <w:lang w:val="en-GB"/>
        </w:rPr>
        <w:t>dexamethasone. However, it concluded that there were no additional gains in health-related quality of life over those already included in the QALY calculations.</w:t>
      </w:r>
    </w:p>
    <w:p w14:paraId="2872D56B" w14:textId="0D34F5CE" w:rsidR="00643582" w:rsidRDefault="005D0E49" w:rsidP="00643582">
      <w:pPr>
        <w:pStyle w:val="Heading2"/>
      </w:pPr>
      <w:r>
        <w:t>Conclusion</w:t>
      </w:r>
    </w:p>
    <w:p w14:paraId="58722404" w14:textId="1A69F01D" w:rsidR="00643582" w:rsidRDefault="005D0E49" w:rsidP="0073007E">
      <w:pPr>
        <w:pStyle w:val="Heading3"/>
      </w:pPr>
      <w:r>
        <w:t xml:space="preserve">Daratumumab plus </w:t>
      </w:r>
      <w:r w:rsidRPr="005D0E49">
        <w:t>bortezomib</w:t>
      </w:r>
      <w:r w:rsidR="00B26439">
        <w:t xml:space="preserve">, </w:t>
      </w:r>
      <w:r w:rsidRPr="005D0E49">
        <w:t xml:space="preserve">thalidomide </w:t>
      </w:r>
      <w:r w:rsidR="00B26439">
        <w:t>and</w:t>
      </w:r>
      <w:r w:rsidR="00B26439" w:rsidRPr="005D0E49">
        <w:t xml:space="preserve"> </w:t>
      </w:r>
      <w:r w:rsidRPr="005D0E49">
        <w:t>dexamethasone</w:t>
      </w:r>
      <w:r>
        <w:t xml:space="preserve"> is not recommended for routine use in the NHS</w:t>
      </w:r>
    </w:p>
    <w:p w14:paraId="49373920" w14:textId="23CDE4CF" w:rsidR="00B340E0" w:rsidRPr="00B340E0" w:rsidRDefault="00B340E0" w:rsidP="005D0E49">
      <w:pPr>
        <w:pStyle w:val="Numberedlevel2text"/>
      </w:pPr>
      <w:r>
        <w:rPr>
          <w:lang w:val="en-GB"/>
        </w:rPr>
        <w:t>D</w:t>
      </w:r>
      <w:r w:rsidR="009737B3" w:rsidRPr="009737B3">
        <w:rPr>
          <w:lang w:val="en-GB"/>
        </w:rPr>
        <w:t>aratumumab plus bortezomib</w:t>
      </w:r>
      <w:r w:rsidR="00B26439">
        <w:rPr>
          <w:lang w:val="en-GB"/>
        </w:rPr>
        <w:t xml:space="preserve">, </w:t>
      </w:r>
      <w:r w:rsidR="009737B3" w:rsidRPr="009737B3">
        <w:rPr>
          <w:lang w:val="en-GB"/>
        </w:rPr>
        <w:t xml:space="preserve">thalidomide </w:t>
      </w:r>
      <w:r w:rsidR="00B26439">
        <w:rPr>
          <w:lang w:val="en-GB"/>
        </w:rPr>
        <w:t>and</w:t>
      </w:r>
      <w:r w:rsidR="00B26439" w:rsidRPr="009737B3">
        <w:rPr>
          <w:lang w:val="en-GB"/>
        </w:rPr>
        <w:t xml:space="preserve"> </w:t>
      </w:r>
      <w:r w:rsidR="009737B3" w:rsidRPr="009737B3">
        <w:rPr>
          <w:lang w:val="en-GB"/>
        </w:rPr>
        <w:t>dexamethasone</w:t>
      </w:r>
      <w:r w:rsidR="009737B3">
        <w:rPr>
          <w:lang w:val="en-GB"/>
        </w:rPr>
        <w:t xml:space="preserve"> </w:t>
      </w:r>
      <w:r>
        <w:rPr>
          <w:lang w:val="en-GB"/>
        </w:rPr>
        <w:t xml:space="preserve">is more clinically effective than standard care for </w:t>
      </w:r>
      <w:r w:rsidRPr="00B340E0">
        <w:rPr>
          <w:lang w:val="en-GB"/>
        </w:rPr>
        <w:t xml:space="preserve">untreated multiple myeloma when </w:t>
      </w:r>
      <w:r w:rsidR="005874AB">
        <w:rPr>
          <w:lang w:val="en-GB"/>
        </w:rPr>
        <w:t xml:space="preserve">a </w:t>
      </w:r>
      <w:r w:rsidRPr="00B340E0">
        <w:rPr>
          <w:lang w:val="en-GB"/>
        </w:rPr>
        <w:t>stem cell transplant is suitable</w:t>
      </w:r>
      <w:r>
        <w:rPr>
          <w:lang w:val="en-GB"/>
        </w:rPr>
        <w:t xml:space="preserve">. However, </w:t>
      </w:r>
      <w:r w:rsidR="009D3C44">
        <w:rPr>
          <w:lang w:val="en-GB"/>
        </w:rPr>
        <w:t xml:space="preserve">there are several uncertainties in the economic modelling. The committee agreed that the most plausible ICER for daratumumab </w:t>
      </w:r>
      <w:r w:rsidR="009D3C44" w:rsidRPr="009D3C44">
        <w:rPr>
          <w:lang w:val="en-GB"/>
        </w:rPr>
        <w:t>plus bortezomib</w:t>
      </w:r>
      <w:r w:rsidR="00B26439">
        <w:rPr>
          <w:lang w:val="en-GB"/>
        </w:rPr>
        <w:t xml:space="preserve">, </w:t>
      </w:r>
      <w:r w:rsidR="009D3C44" w:rsidRPr="009D3C44">
        <w:rPr>
          <w:lang w:val="en-GB"/>
        </w:rPr>
        <w:t xml:space="preserve">thalidomide </w:t>
      </w:r>
      <w:r w:rsidR="00B26439">
        <w:rPr>
          <w:lang w:val="en-GB"/>
        </w:rPr>
        <w:t>and</w:t>
      </w:r>
      <w:r w:rsidR="00B26439" w:rsidRPr="009D3C44">
        <w:rPr>
          <w:lang w:val="en-GB"/>
        </w:rPr>
        <w:t xml:space="preserve"> </w:t>
      </w:r>
      <w:r w:rsidR="009D3C44" w:rsidRPr="009D3C44">
        <w:rPr>
          <w:lang w:val="en-GB"/>
        </w:rPr>
        <w:t>dexamethasone</w:t>
      </w:r>
      <w:r w:rsidR="009D3C44">
        <w:rPr>
          <w:lang w:val="en-GB"/>
        </w:rPr>
        <w:t xml:space="preserve"> compared with </w:t>
      </w:r>
      <w:r w:rsidR="009D3C44" w:rsidRPr="009D3C44">
        <w:rPr>
          <w:lang w:val="en-GB"/>
        </w:rPr>
        <w:t xml:space="preserve">bortezomib plus thalidomide </w:t>
      </w:r>
      <w:r w:rsidR="00B26439">
        <w:rPr>
          <w:lang w:val="en-GB"/>
        </w:rPr>
        <w:t>and</w:t>
      </w:r>
      <w:r w:rsidR="00B26439" w:rsidRPr="009D3C44">
        <w:rPr>
          <w:lang w:val="en-GB"/>
        </w:rPr>
        <w:t xml:space="preserve"> </w:t>
      </w:r>
      <w:r w:rsidR="009D3C44" w:rsidRPr="009D3C44">
        <w:rPr>
          <w:lang w:val="en-GB"/>
        </w:rPr>
        <w:t>dexamethasone</w:t>
      </w:r>
      <w:r w:rsidR="009D3C44">
        <w:rPr>
          <w:lang w:val="en-GB"/>
        </w:rPr>
        <w:t xml:space="preserve"> was above the range normally considered to be a cost-effective use of NHS resources. Therefore, it concluded that </w:t>
      </w:r>
      <w:r w:rsidR="009D3C44" w:rsidRPr="009D3C44">
        <w:rPr>
          <w:lang w:val="en-GB"/>
        </w:rPr>
        <w:t>daratumumab plus bortezomib</w:t>
      </w:r>
      <w:r w:rsidR="00B26439">
        <w:rPr>
          <w:lang w:val="en-GB"/>
        </w:rPr>
        <w:t xml:space="preserve">, </w:t>
      </w:r>
      <w:r w:rsidR="009D3C44" w:rsidRPr="009D3C44">
        <w:rPr>
          <w:lang w:val="en-GB"/>
        </w:rPr>
        <w:t xml:space="preserve">thalidomide </w:t>
      </w:r>
      <w:r w:rsidR="00B26439">
        <w:rPr>
          <w:lang w:val="en-GB"/>
        </w:rPr>
        <w:t>and</w:t>
      </w:r>
      <w:r w:rsidR="00B26439" w:rsidRPr="009D3C44">
        <w:rPr>
          <w:lang w:val="en-GB"/>
        </w:rPr>
        <w:t xml:space="preserve"> </w:t>
      </w:r>
      <w:r w:rsidR="009D3C44" w:rsidRPr="009D3C44">
        <w:rPr>
          <w:lang w:val="en-GB"/>
        </w:rPr>
        <w:t>dexamethasone</w:t>
      </w:r>
      <w:r w:rsidR="009D3C44">
        <w:rPr>
          <w:lang w:val="en-GB"/>
        </w:rPr>
        <w:t xml:space="preserve"> could not be recommended for routine use as an option for untreated multiple myeloma when </w:t>
      </w:r>
      <w:r w:rsidR="005874AB">
        <w:rPr>
          <w:lang w:val="en-GB"/>
        </w:rPr>
        <w:t xml:space="preserve">a </w:t>
      </w:r>
      <w:r w:rsidR="009D3C44">
        <w:rPr>
          <w:lang w:val="en-GB"/>
        </w:rPr>
        <w:t>stem cell transplant is suitable.</w:t>
      </w:r>
    </w:p>
    <w:p w14:paraId="354BA602" w14:textId="355C8C18" w:rsidR="005D0E49" w:rsidRDefault="005D0E49" w:rsidP="005D0E49">
      <w:pPr>
        <w:pStyle w:val="Heading3"/>
      </w:pPr>
      <w:r>
        <w:t xml:space="preserve">Daratumumab plus </w:t>
      </w:r>
      <w:r w:rsidRPr="005D0E49">
        <w:t>bortezomib</w:t>
      </w:r>
      <w:r w:rsidR="00B26439">
        <w:t xml:space="preserve">, </w:t>
      </w:r>
      <w:r w:rsidRPr="005D0E49">
        <w:t xml:space="preserve">thalidomide </w:t>
      </w:r>
      <w:r w:rsidR="00B26439">
        <w:t>and</w:t>
      </w:r>
      <w:r w:rsidR="00B26439" w:rsidRPr="005D0E49">
        <w:t xml:space="preserve"> </w:t>
      </w:r>
      <w:r w:rsidRPr="005D0E49">
        <w:t>dexamethasone</w:t>
      </w:r>
      <w:r>
        <w:t xml:space="preserve"> is not recommended for use in the Cancer Drugs Fund</w:t>
      </w:r>
    </w:p>
    <w:p w14:paraId="3F7BBC4D" w14:textId="5F098A80" w:rsidR="009737B3" w:rsidRDefault="009737B3" w:rsidP="009737B3">
      <w:pPr>
        <w:pStyle w:val="Numberedlevel2text"/>
      </w:pPr>
      <w:r w:rsidRPr="009737B3">
        <w:t>Having concluded that daratumumab plus bortezomib</w:t>
      </w:r>
      <w:r w:rsidR="00B26439">
        <w:rPr>
          <w:lang w:val="en-GB"/>
        </w:rPr>
        <w:t xml:space="preserve">, </w:t>
      </w:r>
      <w:r w:rsidRPr="009737B3">
        <w:t xml:space="preserve">thalidomide </w:t>
      </w:r>
      <w:r w:rsidR="00B26439">
        <w:rPr>
          <w:lang w:val="en-GB"/>
        </w:rPr>
        <w:t>and</w:t>
      </w:r>
      <w:r w:rsidR="00B26439" w:rsidRPr="009737B3">
        <w:t xml:space="preserve"> </w:t>
      </w:r>
      <w:r w:rsidRPr="009737B3">
        <w:t xml:space="preserve">dexamethasone could not be recommended for routine use, the committee then considered if it could be recommended for untreated multiple myeloma when </w:t>
      </w:r>
      <w:r w:rsidR="005874AB">
        <w:rPr>
          <w:lang w:val="en-GB"/>
        </w:rPr>
        <w:t xml:space="preserve">a </w:t>
      </w:r>
      <w:r w:rsidRPr="009737B3">
        <w:t xml:space="preserve">stem cell transplant is suitable within the Cancer Drugs Fund. The committee discussed the arrangements for the Cancer Drugs Fund agreed by NICE and NHS England in 2016, noting </w:t>
      </w:r>
      <w:hyperlink r:id="rId16" w:history="1">
        <w:r w:rsidRPr="009737B3">
          <w:rPr>
            <w:rStyle w:val="Hyperlink"/>
          </w:rPr>
          <w:t>NICE’s Cancer Drugs Fund methods guide (addendum)</w:t>
        </w:r>
      </w:hyperlink>
      <w:r w:rsidRPr="009737B3">
        <w:t xml:space="preserve">. </w:t>
      </w:r>
      <w:r w:rsidR="00861554">
        <w:rPr>
          <w:lang w:val="en-GB"/>
        </w:rPr>
        <w:t xml:space="preserve">The committee </w:t>
      </w:r>
      <w:r w:rsidR="00861554">
        <w:rPr>
          <w:lang w:val="en-GB"/>
        </w:rPr>
        <w:lastRenderedPageBreak/>
        <w:t>was aware that the company had not expressed an interest in the treatment being considered for funding through the Cancer Drugs Fund. It</w:t>
      </w:r>
      <w:r w:rsidRPr="009737B3">
        <w:t xml:space="preserve"> recalled that the key clinical uncertainty </w:t>
      </w:r>
      <w:r w:rsidR="00CB6960">
        <w:rPr>
          <w:lang w:val="en-GB"/>
        </w:rPr>
        <w:t>wa</w:t>
      </w:r>
      <w:r w:rsidRPr="009737B3">
        <w:t xml:space="preserve">s the duration of the </w:t>
      </w:r>
      <w:r>
        <w:rPr>
          <w:lang w:val="en-GB"/>
        </w:rPr>
        <w:t>daratumumab treatment effect.</w:t>
      </w:r>
      <w:r w:rsidRPr="009737B3">
        <w:t xml:space="preserve"> The committee was aware that the final analysis of the CASSIOPEIA trial will be available in 2023, </w:t>
      </w:r>
      <w:r>
        <w:rPr>
          <w:lang w:val="en-GB"/>
        </w:rPr>
        <w:t>after 5</w:t>
      </w:r>
      <w:r w:rsidR="00B26439">
        <w:rPr>
          <w:lang w:val="en-GB"/>
        </w:rPr>
        <w:t> </w:t>
      </w:r>
      <w:r>
        <w:rPr>
          <w:lang w:val="en-GB"/>
        </w:rPr>
        <w:t>years of follow up. It noted that length of follow up would therefore</w:t>
      </w:r>
      <w:r w:rsidR="00B26439">
        <w:rPr>
          <w:lang w:val="en-GB"/>
        </w:rPr>
        <w:t xml:space="preserve"> not</w:t>
      </w:r>
      <w:r w:rsidRPr="009737B3">
        <w:rPr>
          <w:lang w:val="en-GB"/>
        </w:rPr>
        <w:t xml:space="preserve"> be </w:t>
      </w:r>
      <w:r w:rsidR="00B26439">
        <w:rPr>
          <w:lang w:val="en-GB"/>
        </w:rPr>
        <w:t>enough</w:t>
      </w:r>
      <w:r w:rsidR="00B26439" w:rsidRPr="009737B3">
        <w:rPr>
          <w:lang w:val="en-GB"/>
        </w:rPr>
        <w:t xml:space="preserve"> </w:t>
      </w:r>
      <w:r w:rsidRPr="009737B3">
        <w:rPr>
          <w:lang w:val="en-GB"/>
        </w:rPr>
        <w:t xml:space="preserve">to </w:t>
      </w:r>
      <w:r>
        <w:rPr>
          <w:lang w:val="en-GB"/>
        </w:rPr>
        <w:t xml:space="preserve">inform the treatment waning assumption with greater certainty. </w:t>
      </w:r>
      <w:r w:rsidR="00861554">
        <w:rPr>
          <w:lang w:val="en-GB"/>
        </w:rPr>
        <w:t>It</w:t>
      </w:r>
      <w:r>
        <w:rPr>
          <w:lang w:val="en-GB"/>
        </w:rPr>
        <w:t xml:space="preserve"> also recalled that some people in CASSIOPEIA were re-randomised to </w:t>
      </w:r>
      <w:r w:rsidR="00861554">
        <w:rPr>
          <w:lang w:val="en-GB"/>
        </w:rPr>
        <w:t>daratumumab maintenance</w:t>
      </w:r>
      <w:r>
        <w:rPr>
          <w:lang w:val="en-GB"/>
        </w:rPr>
        <w:t xml:space="preserve"> (see </w:t>
      </w:r>
      <w:hyperlink w:anchor="_The_addition_of" w:history="1">
        <w:r w:rsidRPr="00A8247A">
          <w:rPr>
            <w:rStyle w:val="Hyperlink"/>
            <w:lang w:val="en-GB"/>
          </w:rPr>
          <w:t xml:space="preserve">section </w:t>
        </w:r>
        <w:r w:rsidR="00A8247A" w:rsidRPr="00A8247A">
          <w:rPr>
            <w:rStyle w:val="Hyperlink"/>
            <w:lang w:val="en-GB"/>
          </w:rPr>
          <w:t>3.5</w:t>
        </w:r>
      </w:hyperlink>
      <w:r>
        <w:rPr>
          <w:lang w:val="en-GB"/>
        </w:rPr>
        <w:t>), limiting the relevance of the data to NHS clinical practice. It concluded that d</w:t>
      </w:r>
      <w:r w:rsidRPr="009737B3">
        <w:rPr>
          <w:lang w:val="en-GB"/>
        </w:rPr>
        <w:t>aratumumab plus bortezomib</w:t>
      </w:r>
      <w:r w:rsidR="00B26439">
        <w:rPr>
          <w:lang w:val="en-GB"/>
        </w:rPr>
        <w:t xml:space="preserve">, </w:t>
      </w:r>
      <w:r w:rsidRPr="009737B3">
        <w:rPr>
          <w:lang w:val="en-GB"/>
        </w:rPr>
        <w:t xml:space="preserve">thalidomide </w:t>
      </w:r>
      <w:r w:rsidR="00B26439">
        <w:rPr>
          <w:lang w:val="en-GB"/>
        </w:rPr>
        <w:t>and</w:t>
      </w:r>
      <w:r w:rsidR="00B26439" w:rsidRPr="009737B3">
        <w:rPr>
          <w:lang w:val="en-GB"/>
        </w:rPr>
        <w:t xml:space="preserve"> </w:t>
      </w:r>
      <w:r w:rsidRPr="009737B3">
        <w:rPr>
          <w:lang w:val="en-GB"/>
        </w:rPr>
        <w:t>dexamethasone</w:t>
      </w:r>
      <w:r>
        <w:rPr>
          <w:lang w:val="en-GB"/>
        </w:rPr>
        <w:t xml:space="preserve"> did not meet the criteria to be considered for inclusion in the Cancer Drugs Fund.</w:t>
      </w:r>
    </w:p>
    <w:p w14:paraId="1BB9B007" w14:textId="77777777" w:rsidR="000F48EC" w:rsidRPr="000F48EC" w:rsidRDefault="007A2801" w:rsidP="002E73E7">
      <w:pPr>
        <w:pStyle w:val="Numberedheading1"/>
      </w:pPr>
      <w:r>
        <w:t xml:space="preserve">Proposed date for </w:t>
      </w:r>
      <w:r w:rsidR="00000441">
        <w:t>r</w:t>
      </w:r>
      <w:r w:rsidR="000F48EC" w:rsidRPr="000F48EC">
        <w:t>eview of guidance</w:t>
      </w:r>
    </w:p>
    <w:p w14:paraId="3DA2ACF2" w14:textId="40AF76A5" w:rsidR="001823EB" w:rsidRDefault="001823EB" w:rsidP="001823EB">
      <w:pPr>
        <w:pStyle w:val="Numberedlevel2text"/>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18064225" w14:textId="2761B753" w:rsidR="004845D0" w:rsidRDefault="0084476F" w:rsidP="00ED5F88">
      <w:pPr>
        <w:pStyle w:val="NICEnormal"/>
      </w:pPr>
      <w:r>
        <w:t>Amanda Adler</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t>May 2021</w:t>
      </w:r>
    </w:p>
    <w:p w14:paraId="43244AC0"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62548243" w14:textId="77777777" w:rsidR="00B16431" w:rsidRPr="007D7F83" w:rsidRDefault="00B16431" w:rsidP="00B16431">
      <w:pPr>
        <w:pStyle w:val="Heading2"/>
      </w:pPr>
      <w:bookmarkStart w:id="16" w:name="_Appraisal_committee_members"/>
      <w:bookmarkEnd w:id="16"/>
      <w:r w:rsidRPr="007D7F83">
        <w:t xml:space="preserve">Appraisal </w:t>
      </w:r>
      <w:r w:rsidR="00343B53">
        <w:t>c</w:t>
      </w:r>
      <w:r w:rsidRPr="007D7F83">
        <w:t>ommittee members</w:t>
      </w:r>
    </w:p>
    <w:p w14:paraId="4A820FD2" w14:textId="77777777" w:rsidR="0084476F" w:rsidRDefault="002F2583" w:rsidP="002F2583">
      <w:pPr>
        <w:pStyle w:val="NICEnormal"/>
      </w:pPr>
      <w:r>
        <w:t xml:space="preserve">The 4 technology appraisal committees are standing advisory committees of NICE. This topic was considered by </w:t>
      </w:r>
      <w:hyperlink r:id="rId17" w:history="1">
        <w:r w:rsidR="0084476F" w:rsidRPr="00A41DFF">
          <w:rPr>
            <w:rStyle w:val="Hyperlink"/>
            <w:rFonts w:eastAsia="Calibri"/>
          </w:rPr>
          <w:t>committee B</w:t>
        </w:r>
      </w:hyperlink>
      <w:r w:rsidR="0084476F" w:rsidRPr="00A41DFF">
        <w:t>.</w:t>
      </w:r>
    </w:p>
    <w:p w14:paraId="70FD8072" w14:textId="26677BD3" w:rsidR="002F2583" w:rsidRDefault="002F2583" w:rsidP="002F2583">
      <w:pPr>
        <w:pStyle w:val="NICEnormal"/>
      </w:pPr>
      <w:r>
        <w:lastRenderedPageBreak/>
        <w:t>Committee members are asked to declare any interests in the technology to be appraised. If it is considered there is a conflict of interest, the member is excluded from participating further in that appraisal.</w:t>
      </w:r>
    </w:p>
    <w:p w14:paraId="48358D60" w14:textId="77777777" w:rsidR="002F2583" w:rsidRDefault="002F2583" w:rsidP="002F2583">
      <w:pPr>
        <w:pStyle w:val="NICEnormal"/>
      </w:pPr>
      <w:r>
        <w:t xml:space="preserve">The </w:t>
      </w:r>
      <w:hyperlink r:id="rId18"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497D6E5F" w14:textId="77777777" w:rsidR="00B16431" w:rsidRPr="007D7F83" w:rsidRDefault="00B16431" w:rsidP="00B16431">
      <w:pPr>
        <w:pStyle w:val="Heading2"/>
      </w:pPr>
      <w:r w:rsidRPr="007D7F83">
        <w:t>NICE project team</w:t>
      </w:r>
    </w:p>
    <w:p w14:paraId="6C000BD3" w14:textId="5677937B" w:rsidR="00B16431" w:rsidRPr="000F2D8A" w:rsidRDefault="00B16431" w:rsidP="00B16431">
      <w:pPr>
        <w:pStyle w:val="NICEnormal"/>
      </w:pPr>
      <w:r w:rsidRPr="0058413D">
        <w:t xml:space="preserve">Each technology appraisal is assigned to a team consisting of </w:t>
      </w:r>
      <w:r w:rsidR="0084476F">
        <w:t>technical staff</w:t>
      </w:r>
      <w:r w:rsidRPr="0058413D">
        <w:t xml:space="preserve"> and a project manager.</w:t>
      </w:r>
    </w:p>
    <w:p w14:paraId="58D28B45" w14:textId="12BDE820" w:rsidR="00B16431" w:rsidRPr="000F2D8A" w:rsidRDefault="0084476F" w:rsidP="00B16431">
      <w:pPr>
        <w:pStyle w:val="NICEnormal"/>
      </w:pPr>
      <w:bookmarkStart w:id="17" w:name="Text45"/>
      <w:r>
        <w:rPr>
          <w:b/>
        </w:rPr>
        <w:t>Iordanis Sidiropoulos</w:t>
      </w:r>
      <w:r w:rsidR="00B16431">
        <w:br/>
      </w:r>
      <w:r>
        <w:t>Senior Scientific Adviser</w:t>
      </w:r>
    </w:p>
    <w:p w14:paraId="2035CC61" w14:textId="6197F526" w:rsidR="00B16431" w:rsidRPr="000F2D8A" w:rsidRDefault="00B4212A" w:rsidP="00B16431">
      <w:pPr>
        <w:pStyle w:val="NICEnormal"/>
      </w:pPr>
      <w:r w:rsidRPr="00B4212A">
        <w:rPr>
          <w:b/>
        </w:rPr>
        <w:t>Charlie Hewitt</w:t>
      </w:r>
      <w:r w:rsidR="00B16431">
        <w:br/>
      </w:r>
      <w:r w:rsidR="00B16431" w:rsidRPr="00AF59A2">
        <w:t xml:space="preserve">Technical </w:t>
      </w:r>
      <w:r w:rsidR="00E65C76">
        <w:t>a</w:t>
      </w:r>
      <w:r w:rsidR="00B16431" w:rsidRPr="00AF59A2">
        <w:t>dviser</w:t>
      </w:r>
    </w:p>
    <w:p w14:paraId="4AEE77CF" w14:textId="7EC32CB5" w:rsidR="00B16431" w:rsidRPr="000F2D8A" w:rsidRDefault="00B4212A" w:rsidP="005D3FD9">
      <w:pPr>
        <w:pStyle w:val="NICEnormal"/>
      </w:pPr>
      <w:r w:rsidRPr="00B4212A">
        <w:rPr>
          <w:b/>
        </w:rPr>
        <w:t>Jo Ekeledo</w:t>
      </w:r>
      <w:r w:rsidR="00B16431">
        <w:br/>
      </w:r>
      <w:r w:rsidR="00B16431" w:rsidRPr="000F2D8A">
        <w:t xml:space="preserve">Project </w:t>
      </w:r>
      <w:r w:rsidR="00E65C76">
        <w:t>m</w:t>
      </w:r>
      <w:r w:rsidR="00B16431" w:rsidRPr="000F2D8A">
        <w:t>anager</w:t>
      </w:r>
      <w:bookmarkEnd w:id="17"/>
    </w:p>
    <w:p w14:paraId="3977207C"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19"/>
      <w:footerReference w:type="default" r:id="rId2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820F" w14:textId="77777777" w:rsidR="00F75433" w:rsidRDefault="00F75433">
      <w:r>
        <w:separator/>
      </w:r>
    </w:p>
  </w:endnote>
  <w:endnote w:type="continuationSeparator" w:id="0">
    <w:p w14:paraId="20D432D9" w14:textId="77777777" w:rsidR="00F75433" w:rsidRDefault="00F7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0225" w14:textId="458CC7BF" w:rsidR="00832381" w:rsidRPr="003D33FB" w:rsidRDefault="00832381" w:rsidP="007A7EC8">
    <w:pPr>
      <w:pStyle w:val="NICEnormalsinglespacing"/>
      <w:spacing w:after="120"/>
      <w:rPr>
        <w:sz w:val="18"/>
        <w:szCs w:val="18"/>
      </w:rPr>
    </w:pPr>
    <w:r>
      <w:rPr>
        <w:sz w:val="18"/>
        <w:szCs w:val="18"/>
      </w:rPr>
      <w:t>Appraisal consultation document</w:t>
    </w:r>
    <w:r w:rsidR="00A35BCA">
      <w:rPr>
        <w:sz w:val="18"/>
        <w:szCs w:val="18"/>
      </w:rPr>
      <w:t xml:space="preserve"> </w:t>
    </w:r>
    <w:r w:rsidRPr="003D33FB">
      <w:rPr>
        <w:sz w:val="18"/>
        <w:szCs w:val="18"/>
      </w:rPr>
      <w:t xml:space="preserve">– </w:t>
    </w:r>
    <w:r w:rsidR="0084476F" w:rsidRPr="0084476F">
      <w:rPr>
        <w:sz w:val="18"/>
        <w:szCs w:val="18"/>
      </w:rPr>
      <w:t xml:space="preserve">Daratumumab in combination for untreated multiple myeloma when </w:t>
    </w:r>
    <w:r w:rsidR="005874AB">
      <w:rPr>
        <w:sz w:val="18"/>
        <w:szCs w:val="18"/>
      </w:rPr>
      <w:t xml:space="preserve">a </w:t>
    </w:r>
    <w:r w:rsidR="0084476F" w:rsidRPr="0084476F">
      <w:rPr>
        <w:sz w:val="18"/>
        <w:szCs w:val="18"/>
      </w:rPr>
      <w:t xml:space="preserve">stem cell transplant is suitable </w:t>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F633B62" w14:textId="3B070E07" w:rsidR="00832381" w:rsidRDefault="00832381" w:rsidP="007A7EC8">
    <w:pPr>
      <w:pStyle w:val="NICEnormalsinglespacing"/>
      <w:spacing w:after="120"/>
      <w:rPr>
        <w:sz w:val="18"/>
        <w:szCs w:val="18"/>
      </w:rPr>
    </w:pPr>
    <w:r w:rsidRPr="003D33FB">
      <w:rPr>
        <w:sz w:val="18"/>
        <w:szCs w:val="18"/>
      </w:rPr>
      <w:t xml:space="preserve">Issue date: </w:t>
    </w:r>
    <w:r w:rsidR="0084476F">
      <w:rPr>
        <w:sz w:val="18"/>
        <w:szCs w:val="18"/>
      </w:rPr>
      <w:t>May 2021</w:t>
    </w:r>
  </w:p>
  <w:p w14:paraId="6CE9CE7A" w14:textId="5045B91C" w:rsidR="00832381" w:rsidRPr="007A7EC8" w:rsidRDefault="00832381" w:rsidP="007A7EC8">
    <w:pPr>
      <w:pStyle w:val="NICEnormalsinglespacing"/>
      <w:spacing w:after="120"/>
    </w:pPr>
    <w:r>
      <w:rPr>
        <w:sz w:val="18"/>
        <w:szCs w:val="18"/>
      </w:rPr>
      <w:t xml:space="preserve">© NICE </w:t>
    </w:r>
    <w:r w:rsidR="00B4212A">
      <w:rPr>
        <w:sz w:val="18"/>
        <w:szCs w:val="18"/>
      </w:rPr>
      <w:t xml:space="preserve">2021. </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CA451" w14:textId="77777777" w:rsidR="00F75433" w:rsidRDefault="00F75433">
      <w:r>
        <w:separator/>
      </w:r>
    </w:p>
  </w:footnote>
  <w:footnote w:type="continuationSeparator" w:id="0">
    <w:p w14:paraId="4E1B8A56" w14:textId="77777777" w:rsidR="00F75433" w:rsidRDefault="00F75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E865" w14:textId="77777777" w:rsidR="00832381" w:rsidRPr="004E6427" w:rsidRDefault="0083238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852A27DE"/>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4B396F"/>
    <w:multiLevelType w:val="hybridMultilevel"/>
    <w:tmpl w:val="1B76D49A"/>
    <w:lvl w:ilvl="0" w:tplc="8FE83256">
      <w:start w:val="1"/>
      <w:numFmt w:val="bullet"/>
      <w:lvlText w:val="•"/>
      <w:lvlJc w:val="left"/>
      <w:pPr>
        <w:tabs>
          <w:tab w:val="num" w:pos="720"/>
        </w:tabs>
        <w:ind w:left="720" w:hanging="360"/>
      </w:pPr>
      <w:rPr>
        <w:rFonts w:ascii="Arial" w:hAnsi="Arial" w:hint="default"/>
      </w:rPr>
    </w:lvl>
    <w:lvl w:ilvl="1" w:tplc="806C13B0" w:tentative="1">
      <w:start w:val="1"/>
      <w:numFmt w:val="bullet"/>
      <w:lvlText w:val="•"/>
      <w:lvlJc w:val="left"/>
      <w:pPr>
        <w:tabs>
          <w:tab w:val="num" w:pos="1440"/>
        </w:tabs>
        <w:ind w:left="1440" w:hanging="360"/>
      </w:pPr>
      <w:rPr>
        <w:rFonts w:ascii="Arial" w:hAnsi="Arial" w:hint="default"/>
      </w:rPr>
    </w:lvl>
    <w:lvl w:ilvl="2" w:tplc="98F0D112" w:tentative="1">
      <w:start w:val="1"/>
      <w:numFmt w:val="bullet"/>
      <w:lvlText w:val="•"/>
      <w:lvlJc w:val="left"/>
      <w:pPr>
        <w:tabs>
          <w:tab w:val="num" w:pos="2160"/>
        </w:tabs>
        <w:ind w:left="2160" w:hanging="360"/>
      </w:pPr>
      <w:rPr>
        <w:rFonts w:ascii="Arial" w:hAnsi="Arial" w:hint="default"/>
      </w:rPr>
    </w:lvl>
    <w:lvl w:ilvl="3" w:tplc="24F64D9A" w:tentative="1">
      <w:start w:val="1"/>
      <w:numFmt w:val="bullet"/>
      <w:lvlText w:val="•"/>
      <w:lvlJc w:val="left"/>
      <w:pPr>
        <w:tabs>
          <w:tab w:val="num" w:pos="2880"/>
        </w:tabs>
        <w:ind w:left="2880" w:hanging="360"/>
      </w:pPr>
      <w:rPr>
        <w:rFonts w:ascii="Arial" w:hAnsi="Arial" w:hint="default"/>
      </w:rPr>
    </w:lvl>
    <w:lvl w:ilvl="4" w:tplc="8438CCDC" w:tentative="1">
      <w:start w:val="1"/>
      <w:numFmt w:val="bullet"/>
      <w:lvlText w:val="•"/>
      <w:lvlJc w:val="left"/>
      <w:pPr>
        <w:tabs>
          <w:tab w:val="num" w:pos="3600"/>
        </w:tabs>
        <w:ind w:left="3600" w:hanging="360"/>
      </w:pPr>
      <w:rPr>
        <w:rFonts w:ascii="Arial" w:hAnsi="Arial" w:hint="default"/>
      </w:rPr>
    </w:lvl>
    <w:lvl w:ilvl="5" w:tplc="89C269D4" w:tentative="1">
      <w:start w:val="1"/>
      <w:numFmt w:val="bullet"/>
      <w:lvlText w:val="•"/>
      <w:lvlJc w:val="left"/>
      <w:pPr>
        <w:tabs>
          <w:tab w:val="num" w:pos="4320"/>
        </w:tabs>
        <w:ind w:left="4320" w:hanging="360"/>
      </w:pPr>
      <w:rPr>
        <w:rFonts w:ascii="Arial" w:hAnsi="Arial" w:hint="default"/>
      </w:rPr>
    </w:lvl>
    <w:lvl w:ilvl="6" w:tplc="45ECEE74" w:tentative="1">
      <w:start w:val="1"/>
      <w:numFmt w:val="bullet"/>
      <w:lvlText w:val="•"/>
      <w:lvlJc w:val="left"/>
      <w:pPr>
        <w:tabs>
          <w:tab w:val="num" w:pos="5040"/>
        </w:tabs>
        <w:ind w:left="5040" w:hanging="360"/>
      </w:pPr>
      <w:rPr>
        <w:rFonts w:ascii="Arial" w:hAnsi="Arial" w:hint="default"/>
      </w:rPr>
    </w:lvl>
    <w:lvl w:ilvl="7" w:tplc="6D665E9C" w:tentative="1">
      <w:start w:val="1"/>
      <w:numFmt w:val="bullet"/>
      <w:lvlText w:val="•"/>
      <w:lvlJc w:val="left"/>
      <w:pPr>
        <w:tabs>
          <w:tab w:val="num" w:pos="5760"/>
        </w:tabs>
        <w:ind w:left="5760" w:hanging="360"/>
      </w:pPr>
      <w:rPr>
        <w:rFonts w:ascii="Arial" w:hAnsi="Arial" w:hint="default"/>
      </w:rPr>
    </w:lvl>
    <w:lvl w:ilvl="8" w:tplc="E578E2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F6B5B"/>
    <w:multiLevelType w:val="hybridMultilevel"/>
    <w:tmpl w:val="9CF61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88CC656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18A7BC6"/>
    <w:multiLevelType w:val="hybridMultilevel"/>
    <w:tmpl w:val="794A7A2C"/>
    <w:lvl w:ilvl="0" w:tplc="74009C98">
      <w:start w:val="1"/>
      <w:numFmt w:val="bullet"/>
      <w:lvlText w:val="•"/>
      <w:lvlJc w:val="left"/>
      <w:pPr>
        <w:tabs>
          <w:tab w:val="num" w:pos="720"/>
        </w:tabs>
        <w:ind w:left="720" w:hanging="360"/>
      </w:pPr>
      <w:rPr>
        <w:rFonts w:ascii="Arial" w:hAnsi="Arial" w:hint="default"/>
      </w:rPr>
    </w:lvl>
    <w:lvl w:ilvl="1" w:tplc="0F128BCC" w:tentative="1">
      <w:start w:val="1"/>
      <w:numFmt w:val="bullet"/>
      <w:lvlText w:val="•"/>
      <w:lvlJc w:val="left"/>
      <w:pPr>
        <w:tabs>
          <w:tab w:val="num" w:pos="1440"/>
        </w:tabs>
        <w:ind w:left="1440" w:hanging="360"/>
      </w:pPr>
      <w:rPr>
        <w:rFonts w:ascii="Arial" w:hAnsi="Arial" w:hint="default"/>
      </w:rPr>
    </w:lvl>
    <w:lvl w:ilvl="2" w:tplc="971C7F22" w:tentative="1">
      <w:start w:val="1"/>
      <w:numFmt w:val="bullet"/>
      <w:lvlText w:val="•"/>
      <w:lvlJc w:val="left"/>
      <w:pPr>
        <w:tabs>
          <w:tab w:val="num" w:pos="2160"/>
        </w:tabs>
        <w:ind w:left="2160" w:hanging="360"/>
      </w:pPr>
      <w:rPr>
        <w:rFonts w:ascii="Arial" w:hAnsi="Arial" w:hint="default"/>
      </w:rPr>
    </w:lvl>
    <w:lvl w:ilvl="3" w:tplc="C8B07D46" w:tentative="1">
      <w:start w:val="1"/>
      <w:numFmt w:val="bullet"/>
      <w:lvlText w:val="•"/>
      <w:lvlJc w:val="left"/>
      <w:pPr>
        <w:tabs>
          <w:tab w:val="num" w:pos="2880"/>
        </w:tabs>
        <w:ind w:left="2880" w:hanging="360"/>
      </w:pPr>
      <w:rPr>
        <w:rFonts w:ascii="Arial" w:hAnsi="Arial" w:hint="default"/>
      </w:rPr>
    </w:lvl>
    <w:lvl w:ilvl="4" w:tplc="710A0FE2" w:tentative="1">
      <w:start w:val="1"/>
      <w:numFmt w:val="bullet"/>
      <w:lvlText w:val="•"/>
      <w:lvlJc w:val="left"/>
      <w:pPr>
        <w:tabs>
          <w:tab w:val="num" w:pos="3600"/>
        </w:tabs>
        <w:ind w:left="3600" w:hanging="360"/>
      </w:pPr>
      <w:rPr>
        <w:rFonts w:ascii="Arial" w:hAnsi="Arial" w:hint="default"/>
      </w:rPr>
    </w:lvl>
    <w:lvl w:ilvl="5" w:tplc="CD164E7C" w:tentative="1">
      <w:start w:val="1"/>
      <w:numFmt w:val="bullet"/>
      <w:lvlText w:val="•"/>
      <w:lvlJc w:val="left"/>
      <w:pPr>
        <w:tabs>
          <w:tab w:val="num" w:pos="4320"/>
        </w:tabs>
        <w:ind w:left="4320" w:hanging="360"/>
      </w:pPr>
      <w:rPr>
        <w:rFonts w:ascii="Arial" w:hAnsi="Arial" w:hint="default"/>
      </w:rPr>
    </w:lvl>
    <w:lvl w:ilvl="6" w:tplc="4DF03FB4" w:tentative="1">
      <w:start w:val="1"/>
      <w:numFmt w:val="bullet"/>
      <w:lvlText w:val="•"/>
      <w:lvlJc w:val="left"/>
      <w:pPr>
        <w:tabs>
          <w:tab w:val="num" w:pos="5040"/>
        </w:tabs>
        <w:ind w:left="5040" w:hanging="360"/>
      </w:pPr>
      <w:rPr>
        <w:rFonts w:ascii="Arial" w:hAnsi="Arial" w:hint="default"/>
      </w:rPr>
    </w:lvl>
    <w:lvl w:ilvl="7" w:tplc="3B88421A" w:tentative="1">
      <w:start w:val="1"/>
      <w:numFmt w:val="bullet"/>
      <w:lvlText w:val="•"/>
      <w:lvlJc w:val="left"/>
      <w:pPr>
        <w:tabs>
          <w:tab w:val="num" w:pos="5760"/>
        </w:tabs>
        <w:ind w:left="5760" w:hanging="360"/>
      </w:pPr>
      <w:rPr>
        <w:rFonts w:ascii="Arial" w:hAnsi="Arial" w:hint="default"/>
      </w:rPr>
    </w:lvl>
    <w:lvl w:ilvl="8" w:tplc="61CADF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5F80399"/>
    <w:multiLevelType w:val="hybridMultilevel"/>
    <w:tmpl w:val="48C897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E3C099B"/>
    <w:multiLevelType w:val="hybridMultilevel"/>
    <w:tmpl w:val="477E25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20"/>
  </w:num>
  <w:num w:numId="4">
    <w:abstractNumId w:val="12"/>
  </w:num>
  <w:num w:numId="5">
    <w:abstractNumId w:val="14"/>
  </w:num>
  <w:num w:numId="6">
    <w:abstractNumId w:val="0"/>
  </w:num>
  <w:num w:numId="7">
    <w:abstractNumId w:val="2"/>
  </w:num>
  <w:num w:numId="8">
    <w:abstractNumId w:val="5"/>
  </w:num>
  <w:num w:numId="9">
    <w:abstractNumId w:val="7"/>
  </w:num>
  <w:num w:numId="10">
    <w:abstractNumId w:val="8"/>
  </w:num>
  <w:num w:numId="11">
    <w:abstractNumId w:val="10"/>
  </w:num>
  <w:num w:numId="12">
    <w:abstractNumId w:val="9"/>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2"/>
  </w:num>
  <w:num w:numId="1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8"/>
  </w:num>
  <w:num w:numId="22">
    <w:abstractNumId w:val="18"/>
  </w:num>
  <w:num w:numId="23">
    <w:abstractNumId w:val="19"/>
  </w:num>
  <w:num w:numId="24">
    <w:abstractNumId w:val="8"/>
  </w:num>
  <w:num w:numId="25">
    <w:abstractNumId w:val="18"/>
  </w:num>
  <w:num w:numId="26">
    <w:abstractNumId w:val="16"/>
  </w:num>
  <w:num w:numId="27">
    <w:abstractNumId w:val="21"/>
  </w:num>
  <w:num w:numId="28">
    <w:abstractNumId w:val="21"/>
    <w:lvlOverride w:ilvl="0">
      <w:startOverride w:val="1"/>
    </w:lvlOverride>
  </w:num>
  <w:num w:numId="2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
  </w:num>
  <w:num w:numId="32">
    <w:abstractNumId w:val="13"/>
  </w:num>
  <w:num w:numId="33">
    <w:abstractNumId w:val="15"/>
  </w:num>
  <w:num w:numId="3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6F"/>
    <w:rsid w:val="00000441"/>
    <w:rsid w:val="00000D96"/>
    <w:rsid w:val="000051B2"/>
    <w:rsid w:val="00006590"/>
    <w:rsid w:val="000069A4"/>
    <w:rsid w:val="000069F9"/>
    <w:rsid w:val="0000727D"/>
    <w:rsid w:val="000119FB"/>
    <w:rsid w:val="00014990"/>
    <w:rsid w:val="00016A22"/>
    <w:rsid w:val="00016E5E"/>
    <w:rsid w:val="00017610"/>
    <w:rsid w:val="000205C6"/>
    <w:rsid w:val="00021FB0"/>
    <w:rsid w:val="000221AA"/>
    <w:rsid w:val="0002331F"/>
    <w:rsid w:val="00023F26"/>
    <w:rsid w:val="000249F8"/>
    <w:rsid w:val="00026E82"/>
    <w:rsid w:val="00026E84"/>
    <w:rsid w:val="00030676"/>
    <w:rsid w:val="00030714"/>
    <w:rsid w:val="0003322C"/>
    <w:rsid w:val="00034110"/>
    <w:rsid w:val="00034176"/>
    <w:rsid w:val="00034B42"/>
    <w:rsid w:val="00035AC1"/>
    <w:rsid w:val="000368FC"/>
    <w:rsid w:val="000376EE"/>
    <w:rsid w:val="000421F8"/>
    <w:rsid w:val="0004309F"/>
    <w:rsid w:val="00043262"/>
    <w:rsid w:val="00045528"/>
    <w:rsid w:val="000500D5"/>
    <w:rsid w:val="00052063"/>
    <w:rsid w:val="00055658"/>
    <w:rsid w:val="00055DDF"/>
    <w:rsid w:val="000562CF"/>
    <w:rsid w:val="00057724"/>
    <w:rsid w:val="00061C83"/>
    <w:rsid w:val="0006624B"/>
    <w:rsid w:val="00070379"/>
    <w:rsid w:val="000711F1"/>
    <w:rsid w:val="00073DA8"/>
    <w:rsid w:val="000755E6"/>
    <w:rsid w:val="00075AA2"/>
    <w:rsid w:val="000763C3"/>
    <w:rsid w:val="000764D3"/>
    <w:rsid w:val="00080061"/>
    <w:rsid w:val="00080203"/>
    <w:rsid w:val="00080A47"/>
    <w:rsid w:val="00082F77"/>
    <w:rsid w:val="00083CBA"/>
    <w:rsid w:val="00085C5A"/>
    <w:rsid w:val="000862FC"/>
    <w:rsid w:val="00087323"/>
    <w:rsid w:val="000879ED"/>
    <w:rsid w:val="00090108"/>
    <w:rsid w:val="0009180E"/>
    <w:rsid w:val="00093649"/>
    <w:rsid w:val="000941CB"/>
    <w:rsid w:val="00095CC7"/>
    <w:rsid w:val="00095FFF"/>
    <w:rsid w:val="000960BA"/>
    <w:rsid w:val="00096246"/>
    <w:rsid w:val="000A0A6E"/>
    <w:rsid w:val="000A4016"/>
    <w:rsid w:val="000A6C40"/>
    <w:rsid w:val="000B1027"/>
    <w:rsid w:val="000B1D5D"/>
    <w:rsid w:val="000B23D3"/>
    <w:rsid w:val="000B70D6"/>
    <w:rsid w:val="000B7F7A"/>
    <w:rsid w:val="000C04A1"/>
    <w:rsid w:val="000C0709"/>
    <w:rsid w:val="000C194F"/>
    <w:rsid w:val="000C2222"/>
    <w:rsid w:val="000C5DF2"/>
    <w:rsid w:val="000D09ED"/>
    <w:rsid w:val="000D0A87"/>
    <w:rsid w:val="000D0FB1"/>
    <w:rsid w:val="000D11B8"/>
    <w:rsid w:val="000D145B"/>
    <w:rsid w:val="000D6016"/>
    <w:rsid w:val="000D7185"/>
    <w:rsid w:val="000E087B"/>
    <w:rsid w:val="000E1CED"/>
    <w:rsid w:val="000E24BD"/>
    <w:rsid w:val="000E29D1"/>
    <w:rsid w:val="000E6F19"/>
    <w:rsid w:val="000E7681"/>
    <w:rsid w:val="000F14B8"/>
    <w:rsid w:val="000F1B3B"/>
    <w:rsid w:val="000F1E3F"/>
    <w:rsid w:val="000F3DBC"/>
    <w:rsid w:val="000F48EC"/>
    <w:rsid w:val="000F5D8D"/>
    <w:rsid w:val="00100D48"/>
    <w:rsid w:val="001017A9"/>
    <w:rsid w:val="00101F34"/>
    <w:rsid w:val="001030E1"/>
    <w:rsid w:val="001033D5"/>
    <w:rsid w:val="001039F7"/>
    <w:rsid w:val="00105409"/>
    <w:rsid w:val="00107DBD"/>
    <w:rsid w:val="00107FF5"/>
    <w:rsid w:val="001101B2"/>
    <w:rsid w:val="00113666"/>
    <w:rsid w:val="001169FE"/>
    <w:rsid w:val="00116D19"/>
    <w:rsid w:val="00117513"/>
    <w:rsid w:val="001209CD"/>
    <w:rsid w:val="00121D65"/>
    <w:rsid w:val="00121E78"/>
    <w:rsid w:val="001230AC"/>
    <w:rsid w:val="00123F4B"/>
    <w:rsid w:val="00124604"/>
    <w:rsid w:val="001265C0"/>
    <w:rsid w:val="001337B7"/>
    <w:rsid w:val="00133921"/>
    <w:rsid w:val="001344B3"/>
    <w:rsid w:val="001348A2"/>
    <w:rsid w:val="0013747E"/>
    <w:rsid w:val="00140B15"/>
    <w:rsid w:val="00140C93"/>
    <w:rsid w:val="00143536"/>
    <w:rsid w:val="00145B2F"/>
    <w:rsid w:val="001464B2"/>
    <w:rsid w:val="0014661A"/>
    <w:rsid w:val="00150440"/>
    <w:rsid w:val="00151D8E"/>
    <w:rsid w:val="0015280C"/>
    <w:rsid w:val="00153F93"/>
    <w:rsid w:val="001552D3"/>
    <w:rsid w:val="001570BC"/>
    <w:rsid w:val="001579BF"/>
    <w:rsid w:val="00157A10"/>
    <w:rsid w:val="00161AA0"/>
    <w:rsid w:val="001662BC"/>
    <w:rsid w:val="0017072D"/>
    <w:rsid w:val="00170B60"/>
    <w:rsid w:val="00171A2B"/>
    <w:rsid w:val="00172BE1"/>
    <w:rsid w:val="00176FB2"/>
    <w:rsid w:val="001776A8"/>
    <w:rsid w:val="001823EB"/>
    <w:rsid w:val="00184A64"/>
    <w:rsid w:val="00184F97"/>
    <w:rsid w:val="0018716E"/>
    <w:rsid w:val="001873CB"/>
    <w:rsid w:val="00191B56"/>
    <w:rsid w:val="00193945"/>
    <w:rsid w:val="00194140"/>
    <w:rsid w:val="001956FC"/>
    <w:rsid w:val="00196FE1"/>
    <w:rsid w:val="0019718A"/>
    <w:rsid w:val="001A1AE2"/>
    <w:rsid w:val="001A4E20"/>
    <w:rsid w:val="001A5561"/>
    <w:rsid w:val="001A67D6"/>
    <w:rsid w:val="001A6A8F"/>
    <w:rsid w:val="001B1344"/>
    <w:rsid w:val="001B2DD8"/>
    <w:rsid w:val="001B6F92"/>
    <w:rsid w:val="001B7E00"/>
    <w:rsid w:val="001C0DE9"/>
    <w:rsid w:val="001C0EF4"/>
    <w:rsid w:val="001C491D"/>
    <w:rsid w:val="001C59E4"/>
    <w:rsid w:val="001D011E"/>
    <w:rsid w:val="001D1D43"/>
    <w:rsid w:val="001E27E5"/>
    <w:rsid w:val="001E2CAF"/>
    <w:rsid w:val="001E3B0C"/>
    <w:rsid w:val="001E4D37"/>
    <w:rsid w:val="001F0382"/>
    <w:rsid w:val="001F0632"/>
    <w:rsid w:val="001F1400"/>
    <w:rsid w:val="001F1F3F"/>
    <w:rsid w:val="001F2AA8"/>
    <w:rsid w:val="001F6078"/>
    <w:rsid w:val="001F7251"/>
    <w:rsid w:val="00202EC5"/>
    <w:rsid w:val="00204B18"/>
    <w:rsid w:val="00204F82"/>
    <w:rsid w:val="002062CD"/>
    <w:rsid w:val="0021081C"/>
    <w:rsid w:val="002119CD"/>
    <w:rsid w:val="00213B76"/>
    <w:rsid w:val="002159C9"/>
    <w:rsid w:val="00217FB0"/>
    <w:rsid w:val="002218BC"/>
    <w:rsid w:val="0022257F"/>
    <w:rsid w:val="00222BEA"/>
    <w:rsid w:val="00224B7F"/>
    <w:rsid w:val="00225439"/>
    <w:rsid w:val="00225F9B"/>
    <w:rsid w:val="00232061"/>
    <w:rsid w:val="00235945"/>
    <w:rsid w:val="00235CAB"/>
    <w:rsid w:val="00240870"/>
    <w:rsid w:val="00240DB1"/>
    <w:rsid w:val="00247960"/>
    <w:rsid w:val="00253EB9"/>
    <w:rsid w:val="002555BE"/>
    <w:rsid w:val="00255679"/>
    <w:rsid w:val="00257B1C"/>
    <w:rsid w:val="002614EA"/>
    <w:rsid w:val="00265B0E"/>
    <w:rsid w:val="00271807"/>
    <w:rsid w:val="0027350F"/>
    <w:rsid w:val="00282C30"/>
    <w:rsid w:val="00282D7E"/>
    <w:rsid w:val="00287413"/>
    <w:rsid w:val="00290445"/>
    <w:rsid w:val="00292044"/>
    <w:rsid w:val="00293811"/>
    <w:rsid w:val="002A0539"/>
    <w:rsid w:val="002A151A"/>
    <w:rsid w:val="002A2687"/>
    <w:rsid w:val="002A5C23"/>
    <w:rsid w:val="002A686F"/>
    <w:rsid w:val="002B3340"/>
    <w:rsid w:val="002B3A07"/>
    <w:rsid w:val="002B5772"/>
    <w:rsid w:val="002B6D1D"/>
    <w:rsid w:val="002B71FE"/>
    <w:rsid w:val="002B779D"/>
    <w:rsid w:val="002C0551"/>
    <w:rsid w:val="002C257D"/>
    <w:rsid w:val="002C2774"/>
    <w:rsid w:val="002C381D"/>
    <w:rsid w:val="002D79A7"/>
    <w:rsid w:val="002E3F68"/>
    <w:rsid w:val="002E5C16"/>
    <w:rsid w:val="002E73E7"/>
    <w:rsid w:val="002E7D2C"/>
    <w:rsid w:val="002F0AA7"/>
    <w:rsid w:val="002F1B28"/>
    <w:rsid w:val="002F2583"/>
    <w:rsid w:val="002F279A"/>
    <w:rsid w:val="002F2C1A"/>
    <w:rsid w:val="002F434B"/>
    <w:rsid w:val="002F4F5B"/>
    <w:rsid w:val="002F68FE"/>
    <w:rsid w:val="002F78DD"/>
    <w:rsid w:val="00300DF8"/>
    <w:rsid w:val="00303156"/>
    <w:rsid w:val="003032AB"/>
    <w:rsid w:val="003107AB"/>
    <w:rsid w:val="0031127A"/>
    <w:rsid w:val="00311A01"/>
    <w:rsid w:val="00314157"/>
    <w:rsid w:val="0031423A"/>
    <w:rsid w:val="00314C9D"/>
    <w:rsid w:val="003154E8"/>
    <w:rsid w:val="0031562C"/>
    <w:rsid w:val="00315C29"/>
    <w:rsid w:val="0031664C"/>
    <w:rsid w:val="00320174"/>
    <w:rsid w:val="00321C63"/>
    <w:rsid w:val="00324997"/>
    <w:rsid w:val="003256B1"/>
    <w:rsid w:val="00331545"/>
    <w:rsid w:val="003330E6"/>
    <w:rsid w:val="0033333E"/>
    <w:rsid w:val="003368C0"/>
    <w:rsid w:val="00343439"/>
    <w:rsid w:val="00343B53"/>
    <w:rsid w:val="0034525F"/>
    <w:rsid w:val="003459E9"/>
    <w:rsid w:val="003464EC"/>
    <w:rsid w:val="00346818"/>
    <w:rsid w:val="00346BA7"/>
    <w:rsid w:val="00354915"/>
    <w:rsid w:val="00355AA5"/>
    <w:rsid w:val="00364E30"/>
    <w:rsid w:val="00371EDE"/>
    <w:rsid w:val="00372031"/>
    <w:rsid w:val="003738C2"/>
    <w:rsid w:val="00375430"/>
    <w:rsid w:val="00383594"/>
    <w:rsid w:val="003847B9"/>
    <w:rsid w:val="00385E85"/>
    <w:rsid w:val="0039118D"/>
    <w:rsid w:val="00391AC8"/>
    <w:rsid w:val="00392FB4"/>
    <w:rsid w:val="00394DFF"/>
    <w:rsid w:val="00395C05"/>
    <w:rsid w:val="00397870"/>
    <w:rsid w:val="00397C57"/>
    <w:rsid w:val="003A0250"/>
    <w:rsid w:val="003A04CD"/>
    <w:rsid w:val="003A11AB"/>
    <w:rsid w:val="003A1F14"/>
    <w:rsid w:val="003A3974"/>
    <w:rsid w:val="003A5838"/>
    <w:rsid w:val="003B0BC2"/>
    <w:rsid w:val="003B2621"/>
    <w:rsid w:val="003B37BB"/>
    <w:rsid w:val="003C36AC"/>
    <w:rsid w:val="003C3804"/>
    <w:rsid w:val="003C4AE4"/>
    <w:rsid w:val="003C4D1A"/>
    <w:rsid w:val="003C5AD6"/>
    <w:rsid w:val="003C7E4B"/>
    <w:rsid w:val="003C7EF9"/>
    <w:rsid w:val="003D61BF"/>
    <w:rsid w:val="003D68D5"/>
    <w:rsid w:val="003D7050"/>
    <w:rsid w:val="003E14CF"/>
    <w:rsid w:val="003E16E0"/>
    <w:rsid w:val="003E684C"/>
    <w:rsid w:val="003F168A"/>
    <w:rsid w:val="003F432A"/>
    <w:rsid w:val="003F4748"/>
    <w:rsid w:val="004022B4"/>
    <w:rsid w:val="00404658"/>
    <w:rsid w:val="00407366"/>
    <w:rsid w:val="00407D59"/>
    <w:rsid w:val="0041005D"/>
    <w:rsid w:val="004123AB"/>
    <w:rsid w:val="0041525E"/>
    <w:rsid w:val="00415939"/>
    <w:rsid w:val="00416F9E"/>
    <w:rsid w:val="00420742"/>
    <w:rsid w:val="00421005"/>
    <w:rsid w:val="004263B0"/>
    <w:rsid w:val="00431372"/>
    <w:rsid w:val="004324C2"/>
    <w:rsid w:val="00433564"/>
    <w:rsid w:val="004335B6"/>
    <w:rsid w:val="00434460"/>
    <w:rsid w:val="00437732"/>
    <w:rsid w:val="00437CA3"/>
    <w:rsid w:val="0044027B"/>
    <w:rsid w:val="004408F8"/>
    <w:rsid w:val="00444B2C"/>
    <w:rsid w:val="00444BDA"/>
    <w:rsid w:val="0044648F"/>
    <w:rsid w:val="00446DA2"/>
    <w:rsid w:val="00457843"/>
    <w:rsid w:val="00460458"/>
    <w:rsid w:val="00462002"/>
    <w:rsid w:val="0046212F"/>
    <w:rsid w:val="00462733"/>
    <w:rsid w:val="00463227"/>
    <w:rsid w:val="00463973"/>
    <w:rsid w:val="00466674"/>
    <w:rsid w:val="00471113"/>
    <w:rsid w:val="00471200"/>
    <w:rsid w:val="00472FF8"/>
    <w:rsid w:val="004752E1"/>
    <w:rsid w:val="004758E0"/>
    <w:rsid w:val="00475F03"/>
    <w:rsid w:val="004804B3"/>
    <w:rsid w:val="00481E06"/>
    <w:rsid w:val="004820E9"/>
    <w:rsid w:val="00483119"/>
    <w:rsid w:val="0048361F"/>
    <w:rsid w:val="004845D0"/>
    <w:rsid w:val="004852FF"/>
    <w:rsid w:val="00490F79"/>
    <w:rsid w:val="004921C3"/>
    <w:rsid w:val="0049290A"/>
    <w:rsid w:val="00492FDA"/>
    <w:rsid w:val="00494E73"/>
    <w:rsid w:val="004956DB"/>
    <w:rsid w:val="004A24FA"/>
    <w:rsid w:val="004A2830"/>
    <w:rsid w:val="004A4B41"/>
    <w:rsid w:val="004B063F"/>
    <w:rsid w:val="004B514C"/>
    <w:rsid w:val="004B7D57"/>
    <w:rsid w:val="004C00D8"/>
    <w:rsid w:val="004C3B55"/>
    <w:rsid w:val="004C3DAD"/>
    <w:rsid w:val="004C5923"/>
    <w:rsid w:val="004C6116"/>
    <w:rsid w:val="004C7C61"/>
    <w:rsid w:val="004D0DFD"/>
    <w:rsid w:val="004D1FBE"/>
    <w:rsid w:val="004D45BE"/>
    <w:rsid w:val="004D4A86"/>
    <w:rsid w:val="004D7664"/>
    <w:rsid w:val="004E074F"/>
    <w:rsid w:val="004E6427"/>
    <w:rsid w:val="004E7625"/>
    <w:rsid w:val="004E7E43"/>
    <w:rsid w:val="004F1956"/>
    <w:rsid w:val="004F5FC6"/>
    <w:rsid w:val="004F69FA"/>
    <w:rsid w:val="005037B2"/>
    <w:rsid w:val="0050455E"/>
    <w:rsid w:val="005047AD"/>
    <w:rsid w:val="0050683B"/>
    <w:rsid w:val="00510B1D"/>
    <w:rsid w:val="0051107D"/>
    <w:rsid w:val="00511167"/>
    <w:rsid w:val="00521A52"/>
    <w:rsid w:val="00526C07"/>
    <w:rsid w:val="005273A6"/>
    <w:rsid w:val="00527533"/>
    <w:rsid w:val="00527E88"/>
    <w:rsid w:val="00532A45"/>
    <w:rsid w:val="0053387C"/>
    <w:rsid w:val="00534F74"/>
    <w:rsid w:val="005363A2"/>
    <w:rsid w:val="00536789"/>
    <w:rsid w:val="00536D2F"/>
    <w:rsid w:val="00540052"/>
    <w:rsid w:val="0054146B"/>
    <w:rsid w:val="00541812"/>
    <w:rsid w:val="00543DB4"/>
    <w:rsid w:val="00543E08"/>
    <w:rsid w:val="005449AD"/>
    <w:rsid w:val="005505ED"/>
    <w:rsid w:val="005509FD"/>
    <w:rsid w:val="00555957"/>
    <w:rsid w:val="00564684"/>
    <w:rsid w:val="00564B04"/>
    <w:rsid w:val="00570524"/>
    <w:rsid w:val="00573059"/>
    <w:rsid w:val="0057621E"/>
    <w:rsid w:val="00577B05"/>
    <w:rsid w:val="00580049"/>
    <w:rsid w:val="00580D6F"/>
    <w:rsid w:val="005812C6"/>
    <w:rsid w:val="0058382A"/>
    <w:rsid w:val="00583E87"/>
    <w:rsid w:val="00583F11"/>
    <w:rsid w:val="005874AB"/>
    <w:rsid w:val="00592273"/>
    <w:rsid w:val="00592E82"/>
    <w:rsid w:val="005948FA"/>
    <w:rsid w:val="005959BE"/>
    <w:rsid w:val="00596210"/>
    <w:rsid w:val="00596286"/>
    <w:rsid w:val="00596999"/>
    <w:rsid w:val="005A0F31"/>
    <w:rsid w:val="005A28A1"/>
    <w:rsid w:val="005A46D0"/>
    <w:rsid w:val="005A6FB5"/>
    <w:rsid w:val="005B25E4"/>
    <w:rsid w:val="005B30C8"/>
    <w:rsid w:val="005B33BC"/>
    <w:rsid w:val="005B69C7"/>
    <w:rsid w:val="005B7778"/>
    <w:rsid w:val="005C051F"/>
    <w:rsid w:val="005C0F34"/>
    <w:rsid w:val="005C24C9"/>
    <w:rsid w:val="005C6E7B"/>
    <w:rsid w:val="005C762E"/>
    <w:rsid w:val="005D098C"/>
    <w:rsid w:val="005D0E49"/>
    <w:rsid w:val="005D2A15"/>
    <w:rsid w:val="005D311B"/>
    <w:rsid w:val="005D3FD9"/>
    <w:rsid w:val="005E11F6"/>
    <w:rsid w:val="005E2139"/>
    <w:rsid w:val="005E46BB"/>
    <w:rsid w:val="005E7605"/>
    <w:rsid w:val="005F31F9"/>
    <w:rsid w:val="005F4946"/>
    <w:rsid w:val="006001CC"/>
    <w:rsid w:val="00602B4D"/>
    <w:rsid w:val="00603C94"/>
    <w:rsid w:val="006048E0"/>
    <w:rsid w:val="00604FAD"/>
    <w:rsid w:val="0060662A"/>
    <w:rsid w:val="0060741A"/>
    <w:rsid w:val="00612789"/>
    <w:rsid w:val="00613D24"/>
    <w:rsid w:val="00614BDA"/>
    <w:rsid w:val="00621AFB"/>
    <w:rsid w:val="0062495C"/>
    <w:rsid w:val="0062589A"/>
    <w:rsid w:val="006307C7"/>
    <w:rsid w:val="0063183B"/>
    <w:rsid w:val="00632B82"/>
    <w:rsid w:val="006331B4"/>
    <w:rsid w:val="006343F3"/>
    <w:rsid w:val="00640CF2"/>
    <w:rsid w:val="006417D6"/>
    <w:rsid w:val="00642906"/>
    <w:rsid w:val="006433E0"/>
    <w:rsid w:val="00643582"/>
    <w:rsid w:val="00643B75"/>
    <w:rsid w:val="006457EF"/>
    <w:rsid w:val="006467A1"/>
    <w:rsid w:val="006469AD"/>
    <w:rsid w:val="00650B3B"/>
    <w:rsid w:val="00650F96"/>
    <w:rsid w:val="006512B7"/>
    <w:rsid w:val="00651C22"/>
    <w:rsid w:val="00655679"/>
    <w:rsid w:val="00655B4D"/>
    <w:rsid w:val="00655ED5"/>
    <w:rsid w:val="00662107"/>
    <w:rsid w:val="00662BC0"/>
    <w:rsid w:val="00665734"/>
    <w:rsid w:val="0067184D"/>
    <w:rsid w:val="00671977"/>
    <w:rsid w:val="00671D80"/>
    <w:rsid w:val="00672EFB"/>
    <w:rsid w:val="006739CF"/>
    <w:rsid w:val="00676E59"/>
    <w:rsid w:val="0067752C"/>
    <w:rsid w:val="006776A2"/>
    <w:rsid w:val="006801A6"/>
    <w:rsid w:val="0068124B"/>
    <w:rsid w:val="006814B2"/>
    <w:rsid w:val="00681610"/>
    <w:rsid w:val="00682DEE"/>
    <w:rsid w:val="00684AD6"/>
    <w:rsid w:val="00685A16"/>
    <w:rsid w:val="00685D36"/>
    <w:rsid w:val="00687304"/>
    <w:rsid w:val="00692C71"/>
    <w:rsid w:val="006931A0"/>
    <w:rsid w:val="006935BC"/>
    <w:rsid w:val="0069365C"/>
    <w:rsid w:val="00696AA9"/>
    <w:rsid w:val="00696E55"/>
    <w:rsid w:val="006A0B0E"/>
    <w:rsid w:val="006A33FC"/>
    <w:rsid w:val="006A3A9C"/>
    <w:rsid w:val="006A3CC5"/>
    <w:rsid w:val="006A721F"/>
    <w:rsid w:val="006A7CCF"/>
    <w:rsid w:val="006B0581"/>
    <w:rsid w:val="006B0F36"/>
    <w:rsid w:val="006B1C06"/>
    <w:rsid w:val="006B30FD"/>
    <w:rsid w:val="006B4254"/>
    <w:rsid w:val="006B5CB4"/>
    <w:rsid w:val="006B6DCF"/>
    <w:rsid w:val="006B77EF"/>
    <w:rsid w:val="006B791B"/>
    <w:rsid w:val="006C3656"/>
    <w:rsid w:val="006C4793"/>
    <w:rsid w:val="006C4F1D"/>
    <w:rsid w:val="006C5DA7"/>
    <w:rsid w:val="006D0EDD"/>
    <w:rsid w:val="006D14A6"/>
    <w:rsid w:val="006D271D"/>
    <w:rsid w:val="006D36FB"/>
    <w:rsid w:val="006D42ED"/>
    <w:rsid w:val="006D4D1A"/>
    <w:rsid w:val="006D5982"/>
    <w:rsid w:val="006D73F1"/>
    <w:rsid w:val="006E2A29"/>
    <w:rsid w:val="006E3514"/>
    <w:rsid w:val="006E3959"/>
    <w:rsid w:val="006E7421"/>
    <w:rsid w:val="006E7647"/>
    <w:rsid w:val="006F162C"/>
    <w:rsid w:val="006F1DA8"/>
    <w:rsid w:val="006F22E9"/>
    <w:rsid w:val="006F4CFA"/>
    <w:rsid w:val="006F5310"/>
    <w:rsid w:val="006F696E"/>
    <w:rsid w:val="006F6B91"/>
    <w:rsid w:val="00702A90"/>
    <w:rsid w:val="007040CB"/>
    <w:rsid w:val="0070523B"/>
    <w:rsid w:val="00707D16"/>
    <w:rsid w:val="007136BA"/>
    <w:rsid w:val="00715994"/>
    <w:rsid w:val="00715E8A"/>
    <w:rsid w:val="00717226"/>
    <w:rsid w:val="00720FDD"/>
    <w:rsid w:val="007213F6"/>
    <w:rsid w:val="00721A2A"/>
    <w:rsid w:val="00722883"/>
    <w:rsid w:val="00723AF0"/>
    <w:rsid w:val="0072504B"/>
    <w:rsid w:val="00725D0F"/>
    <w:rsid w:val="007264E7"/>
    <w:rsid w:val="00727911"/>
    <w:rsid w:val="0073007E"/>
    <w:rsid w:val="007311E2"/>
    <w:rsid w:val="00732519"/>
    <w:rsid w:val="00733042"/>
    <w:rsid w:val="0073365B"/>
    <w:rsid w:val="00734F5A"/>
    <w:rsid w:val="0073579D"/>
    <w:rsid w:val="007366A4"/>
    <w:rsid w:val="00736D97"/>
    <w:rsid w:val="00737CEF"/>
    <w:rsid w:val="00737DDA"/>
    <w:rsid w:val="00741697"/>
    <w:rsid w:val="00746B57"/>
    <w:rsid w:val="00747D90"/>
    <w:rsid w:val="007501B9"/>
    <w:rsid w:val="00751CB9"/>
    <w:rsid w:val="00754276"/>
    <w:rsid w:val="0075624F"/>
    <w:rsid w:val="00756580"/>
    <w:rsid w:val="00756D96"/>
    <w:rsid w:val="007620C2"/>
    <w:rsid w:val="00763641"/>
    <w:rsid w:val="0076429C"/>
    <w:rsid w:val="007665E8"/>
    <w:rsid w:val="007668BA"/>
    <w:rsid w:val="00766EA2"/>
    <w:rsid w:val="00770596"/>
    <w:rsid w:val="0077277D"/>
    <w:rsid w:val="007747D4"/>
    <w:rsid w:val="00774963"/>
    <w:rsid w:val="00776FE2"/>
    <w:rsid w:val="00781B7F"/>
    <w:rsid w:val="00782DCB"/>
    <w:rsid w:val="00784156"/>
    <w:rsid w:val="00791280"/>
    <w:rsid w:val="007918C7"/>
    <w:rsid w:val="007933B3"/>
    <w:rsid w:val="00794D72"/>
    <w:rsid w:val="007A048E"/>
    <w:rsid w:val="007A19AF"/>
    <w:rsid w:val="007A1E9D"/>
    <w:rsid w:val="007A2801"/>
    <w:rsid w:val="007A4EEE"/>
    <w:rsid w:val="007A54A6"/>
    <w:rsid w:val="007A5DEA"/>
    <w:rsid w:val="007A6DAA"/>
    <w:rsid w:val="007A7EC8"/>
    <w:rsid w:val="007B032C"/>
    <w:rsid w:val="007B1AF8"/>
    <w:rsid w:val="007B2A16"/>
    <w:rsid w:val="007B4B3F"/>
    <w:rsid w:val="007B787D"/>
    <w:rsid w:val="007B7B7B"/>
    <w:rsid w:val="007C3165"/>
    <w:rsid w:val="007C375E"/>
    <w:rsid w:val="007C3B4F"/>
    <w:rsid w:val="007C58D6"/>
    <w:rsid w:val="007C6CB5"/>
    <w:rsid w:val="007C732D"/>
    <w:rsid w:val="007D1008"/>
    <w:rsid w:val="007D33AD"/>
    <w:rsid w:val="007D5B27"/>
    <w:rsid w:val="007D5C80"/>
    <w:rsid w:val="007D62AE"/>
    <w:rsid w:val="007E013D"/>
    <w:rsid w:val="007E2754"/>
    <w:rsid w:val="007E5818"/>
    <w:rsid w:val="007E61A7"/>
    <w:rsid w:val="007E65D7"/>
    <w:rsid w:val="007E67F3"/>
    <w:rsid w:val="007E67FC"/>
    <w:rsid w:val="007F227E"/>
    <w:rsid w:val="007F4B29"/>
    <w:rsid w:val="007F6249"/>
    <w:rsid w:val="0080089C"/>
    <w:rsid w:val="00803318"/>
    <w:rsid w:val="00803456"/>
    <w:rsid w:val="0080390A"/>
    <w:rsid w:val="00810004"/>
    <w:rsid w:val="00811BBD"/>
    <w:rsid w:val="00811CC3"/>
    <w:rsid w:val="00812976"/>
    <w:rsid w:val="00814DEF"/>
    <w:rsid w:val="0082239E"/>
    <w:rsid w:val="00825A87"/>
    <w:rsid w:val="00827B66"/>
    <w:rsid w:val="00831B9B"/>
    <w:rsid w:val="00832381"/>
    <w:rsid w:val="00835008"/>
    <w:rsid w:val="008425D1"/>
    <w:rsid w:val="00842A7E"/>
    <w:rsid w:val="0084476F"/>
    <w:rsid w:val="00844D3D"/>
    <w:rsid w:val="0084532E"/>
    <w:rsid w:val="00845810"/>
    <w:rsid w:val="00845F3C"/>
    <w:rsid w:val="00846159"/>
    <w:rsid w:val="008505C3"/>
    <w:rsid w:val="00851677"/>
    <w:rsid w:val="008522C6"/>
    <w:rsid w:val="00852E40"/>
    <w:rsid w:val="00853827"/>
    <w:rsid w:val="00854962"/>
    <w:rsid w:val="00857A90"/>
    <w:rsid w:val="00857CDD"/>
    <w:rsid w:val="00860EA8"/>
    <w:rsid w:val="00861554"/>
    <w:rsid w:val="0086472B"/>
    <w:rsid w:val="00865B83"/>
    <w:rsid w:val="00866494"/>
    <w:rsid w:val="00866CC6"/>
    <w:rsid w:val="00870911"/>
    <w:rsid w:val="0087368E"/>
    <w:rsid w:val="008802D9"/>
    <w:rsid w:val="00880B98"/>
    <w:rsid w:val="00881BD7"/>
    <w:rsid w:val="00881F26"/>
    <w:rsid w:val="008838A1"/>
    <w:rsid w:val="0088685E"/>
    <w:rsid w:val="0088689E"/>
    <w:rsid w:val="00891794"/>
    <w:rsid w:val="00891929"/>
    <w:rsid w:val="00893176"/>
    <w:rsid w:val="00895446"/>
    <w:rsid w:val="008A05E4"/>
    <w:rsid w:val="008A2098"/>
    <w:rsid w:val="008A32D1"/>
    <w:rsid w:val="008A6EAA"/>
    <w:rsid w:val="008A7B50"/>
    <w:rsid w:val="008B03D8"/>
    <w:rsid w:val="008B4290"/>
    <w:rsid w:val="008B45EB"/>
    <w:rsid w:val="008B61CD"/>
    <w:rsid w:val="008C4A61"/>
    <w:rsid w:val="008C4CB3"/>
    <w:rsid w:val="008C4F0F"/>
    <w:rsid w:val="008C5D58"/>
    <w:rsid w:val="008C633E"/>
    <w:rsid w:val="008C6CFD"/>
    <w:rsid w:val="008C7D07"/>
    <w:rsid w:val="008C7F38"/>
    <w:rsid w:val="008D13A4"/>
    <w:rsid w:val="008D3B9E"/>
    <w:rsid w:val="008D55C9"/>
    <w:rsid w:val="008E5493"/>
    <w:rsid w:val="008E7460"/>
    <w:rsid w:val="008E7585"/>
    <w:rsid w:val="008F2E5C"/>
    <w:rsid w:val="008F646F"/>
    <w:rsid w:val="00906982"/>
    <w:rsid w:val="009076D0"/>
    <w:rsid w:val="00912CD9"/>
    <w:rsid w:val="00914F38"/>
    <w:rsid w:val="0091776B"/>
    <w:rsid w:val="00920396"/>
    <w:rsid w:val="0092657D"/>
    <w:rsid w:val="009274F6"/>
    <w:rsid w:val="00931E1D"/>
    <w:rsid w:val="00932B67"/>
    <w:rsid w:val="00935018"/>
    <w:rsid w:val="0093671F"/>
    <w:rsid w:val="00937D0C"/>
    <w:rsid w:val="00937F0D"/>
    <w:rsid w:val="00941D1F"/>
    <w:rsid w:val="00942CEF"/>
    <w:rsid w:val="0094366C"/>
    <w:rsid w:val="00944226"/>
    <w:rsid w:val="0094666B"/>
    <w:rsid w:val="009479C0"/>
    <w:rsid w:val="00950914"/>
    <w:rsid w:val="00950C51"/>
    <w:rsid w:val="00951099"/>
    <w:rsid w:val="00951973"/>
    <w:rsid w:val="0095252E"/>
    <w:rsid w:val="00952591"/>
    <w:rsid w:val="00952C90"/>
    <w:rsid w:val="00953ADF"/>
    <w:rsid w:val="00953B55"/>
    <w:rsid w:val="0095579B"/>
    <w:rsid w:val="00957E73"/>
    <w:rsid w:val="0096135C"/>
    <w:rsid w:val="00965E48"/>
    <w:rsid w:val="009716D6"/>
    <w:rsid w:val="00971BFB"/>
    <w:rsid w:val="009737B3"/>
    <w:rsid w:val="009746D7"/>
    <w:rsid w:val="009808B4"/>
    <w:rsid w:val="00983391"/>
    <w:rsid w:val="00984821"/>
    <w:rsid w:val="009961A7"/>
    <w:rsid w:val="0099716A"/>
    <w:rsid w:val="009A0593"/>
    <w:rsid w:val="009A2797"/>
    <w:rsid w:val="009A2C14"/>
    <w:rsid w:val="009A3D97"/>
    <w:rsid w:val="009A3ED6"/>
    <w:rsid w:val="009A598B"/>
    <w:rsid w:val="009A698B"/>
    <w:rsid w:val="009B2D86"/>
    <w:rsid w:val="009B3F94"/>
    <w:rsid w:val="009B4BF5"/>
    <w:rsid w:val="009B5E70"/>
    <w:rsid w:val="009B621A"/>
    <w:rsid w:val="009B672F"/>
    <w:rsid w:val="009B6EAB"/>
    <w:rsid w:val="009B718D"/>
    <w:rsid w:val="009B7CCE"/>
    <w:rsid w:val="009C0BCC"/>
    <w:rsid w:val="009C3FA3"/>
    <w:rsid w:val="009C45D9"/>
    <w:rsid w:val="009C5FC7"/>
    <w:rsid w:val="009C6530"/>
    <w:rsid w:val="009C6F32"/>
    <w:rsid w:val="009D02D2"/>
    <w:rsid w:val="009D2707"/>
    <w:rsid w:val="009D2BEF"/>
    <w:rsid w:val="009D358E"/>
    <w:rsid w:val="009D3C44"/>
    <w:rsid w:val="009D7187"/>
    <w:rsid w:val="009D783B"/>
    <w:rsid w:val="009E01DD"/>
    <w:rsid w:val="009E51E4"/>
    <w:rsid w:val="009E547A"/>
    <w:rsid w:val="009E65D4"/>
    <w:rsid w:val="009F30C8"/>
    <w:rsid w:val="009F4054"/>
    <w:rsid w:val="009F4E51"/>
    <w:rsid w:val="009F58D8"/>
    <w:rsid w:val="009F6A93"/>
    <w:rsid w:val="00A00198"/>
    <w:rsid w:val="00A02F7D"/>
    <w:rsid w:val="00A03791"/>
    <w:rsid w:val="00A05068"/>
    <w:rsid w:val="00A06657"/>
    <w:rsid w:val="00A12DA0"/>
    <w:rsid w:val="00A16DFA"/>
    <w:rsid w:val="00A17C0A"/>
    <w:rsid w:val="00A22FA7"/>
    <w:rsid w:val="00A238D0"/>
    <w:rsid w:val="00A331EC"/>
    <w:rsid w:val="00A33919"/>
    <w:rsid w:val="00A346B2"/>
    <w:rsid w:val="00A35BCA"/>
    <w:rsid w:val="00A3601F"/>
    <w:rsid w:val="00A36968"/>
    <w:rsid w:val="00A36EC5"/>
    <w:rsid w:val="00A41149"/>
    <w:rsid w:val="00A44745"/>
    <w:rsid w:val="00A44F15"/>
    <w:rsid w:val="00A455EC"/>
    <w:rsid w:val="00A47B7B"/>
    <w:rsid w:val="00A50621"/>
    <w:rsid w:val="00A52D66"/>
    <w:rsid w:val="00A54175"/>
    <w:rsid w:val="00A54B4C"/>
    <w:rsid w:val="00A56809"/>
    <w:rsid w:val="00A56B44"/>
    <w:rsid w:val="00A60D9A"/>
    <w:rsid w:val="00A61FD1"/>
    <w:rsid w:val="00A63A07"/>
    <w:rsid w:val="00A654A2"/>
    <w:rsid w:val="00A67183"/>
    <w:rsid w:val="00A70079"/>
    <w:rsid w:val="00A70C85"/>
    <w:rsid w:val="00A76391"/>
    <w:rsid w:val="00A76452"/>
    <w:rsid w:val="00A8247A"/>
    <w:rsid w:val="00A83F5F"/>
    <w:rsid w:val="00A84DF8"/>
    <w:rsid w:val="00A86245"/>
    <w:rsid w:val="00A86D3D"/>
    <w:rsid w:val="00A9013E"/>
    <w:rsid w:val="00A915F3"/>
    <w:rsid w:val="00A94B17"/>
    <w:rsid w:val="00A94F1F"/>
    <w:rsid w:val="00A95347"/>
    <w:rsid w:val="00AA349C"/>
    <w:rsid w:val="00AA471D"/>
    <w:rsid w:val="00AA4B1C"/>
    <w:rsid w:val="00AA5D81"/>
    <w:rsid w:val="00AA6188"/>
    <w:rsid w:val="00AA7E33"/>
    <w:rsid w:val="00AB265E"/>
    <w:rsid w:val="00AB2948"/>
    <w:rsid w:val="00AB354C"/>
    <w:rsid w:val="00AB39FA"/>
    <w:rsid w:val="00AB3B30"/>
    <w:rsid w:val="00AB426C"/>
    <w:rsid w:val="00AB451C"/>
    <w:rsid w:val="00AB59F2"/>
    <w:rsid w:val="00AC221D"/>
    <w:rsid w:val="00AC3E62"/>
    <w:rsid w:val="00AC4BF9"/>
    <w:rsid w:val="00AC5620"/>
    <w:rsid w:val="00AC5AF9"/>
    <w:rsid w:val="00AC6192"/>
    <w:rsid w:val="00AC6405"/>
    <w:rsid w:val="00AD19C5"/>
    <w:rsid w:val="00AD2F03"/>
    <w:rsid w:val="00AD57FE"/>
    <w:rsid w:val="00AD6933"/>
    <w:rsid w:val="00AD6B7B"/>
    <w:rsid w:val="00AD7CAB"/>
    <w:rsid w:val="00AE04A6"/>
    <w:rsid w:val="00AE0D6A"/>
    <w:rsid w:val="00AE10BE"/>
    <w:rsid w:val="00AE16C9"/>
    <w:rsid w:val="00AE3EF5"/>
    <w:rsid w:val="00AE423A"/>
    <w:rsid w:val="00AE471D"/>
    <w:rsid w:val="00AE4F2A"/>
    <w:rsid w:val="00AE5F33"/>
    <w:rsid w:val="00AF0AD5"/>
    <w:rsid w:val="00AF10A7"/>
    <w:rsid w:val="00AF15E6"/>
    <w:rsid w:val="00AF3BA6"/>
    <w:rsid w:val="00AF51E7"/>
    <w:rsid w:val="00AF6744"/>
    <w:rsid w:val="00B0303A"/>
    <w:rsid w:val="00B0350D"/>
    <w:rsid w:val="00B05620"/>
    <w:rsid w:val="00B12E05"/>
    <w:rsid w:val="00B12EBE"/>
    <w:rsid w:val="00B15ED2"/>
    <w:rsid w:val="00B16431"/>
    <w:rsid w:val="00B166A4"/>
    <w:rsid w:val="00B219B7"/>
    <w:rsid w:val="00B23AB0"/>
    <w:rsid w:val="00B25038"/>
    <w:rsid w:val="00B26439"/>
    <w:rsid w:val="00B27FF1"/>
    <w:rsid w:val="00B3159A"/>
    <w:rsid w:val="00B33465"/>
    <w:rsid w:val="00B340E0"/>
    <w:rsid w:val="00B35C09"/>
    <w:rsid w:val="00B379C5"/>
    <w:rsid w:val="00B4110F"/>
    <w:rsid w:val="00B4183F"/>
    <w:rsid w:val="00B4212A"/>
    <w:rsid w:val="00B42198"/>
    <w:rsid w:val="00B46AD2"/>
    <w:rsid w:val="00B614D0"/>
    <w:rsid w:val="00B63175"/>
    <w:rsid w:val="00B64BBE"/>
    <w:rsid w:val="00B65D17"/>
    <w:rsid w:val="00B6754C"/>
    <w:rsid w:val="00B67DC6"/>
    <w:rsid w:val="00B67DE1"/>
    <w:rsid w:val="00B706D4"/>
    <w:rsid w:val="00B70CC6"/>
    <w:rsid w:val="00B73894"/>
    <w:rsid w:val="00B776B5"/>
    <w:rsid w:val="00B80AC9"/>
    <w:rsid w:val="00B8193F"/>
    <w:rsid w:val="00B82A82"/>
    <w:rsid w:val="00B8464A"/>
    <w:rsid w:val="00B8473D"/>
    <w:rsid w:val="00B90410"/>
    <w:rsid w:val="00B90E10"/>
    <w:rsid w:val="00B964CA"/>
    <w:rsid w:val="00B969D7"/>
    <w:rsid w:val="00B96E61"/>
    <w:rsid w:val="00BA225D"/>
    <w:rsid w:val="00BA31C4"/>
    <w:rsid w:val="00BA4655"/>
    <w:rsid w:val="00BA78B6"/>
    <w:rsid w:val="00BA7935"/>
    <w:rsid w:val="00BB047B"/>
    <w:rsid w:val="00BB11FC"/>
    <w:rsid w:val="00BB4818"/>
    <w:rsid w:val="00BB4AF3"/>
    <w:rsid w:val="00BB62CD"/>
    <w:rsid w:val="00BB6398"/>
    <w:rsid w:val="00BC1011"/>
    <w:rsid w:val="00BC25EF"/>
    <w:rsid w:val="00BC2DAF"/>
    <w:rsid w:val="00BC4FD3"/>
    <w:rsid w:val="00BC6827"/>
    <w:rsid w:val="00BC6C7A"/>
    <w:rsid w:val="00BC7D9E"/>
    <w:rsid w:val="00BD0372"/>
    <w:rsid w:val="00BD44F5"/>
    <w:rsid w:val="00BD6178"/>
    <w:rsid w:val="00BE0AAA"/>
    <w:rsid w:val="00BE3654"/>
    <w:rsid w:val="00BE4340"/>
    <w:rsid w:val="00BE5C41"/>
    <w:rsid w:val="00BF0646"/>
    <w:rsid w:val="00BF1C32"/>
    <w:rsid w:val="00BF2BA5"/>
    <w:rsid w:val="00BF76A6"/>
    <w:rsid w:val="00C0068D"/>
    <w:rsid w:val="00C01F23"/>
    <w:rsid w:val="00C044BE"/>
    <w:rsid w:val="00C04BAB"/>
    <w:rsid w:val="00C0607B"/>
    <w:rsid w:val="00C06836"/>
    <w:rsid w:val="00C06DEF"/>
    <w:rsid w:val="00C075A2"/>
    <w:rsid w:val="00C107CB"/>
    <w:rsid w:val="00C118C4"/>
    <w:rsid w:val="00C11F58"/>
    <w:rsid w:val="00C120D7"/>
    <w:rsid w:val="00C132D1"/>
    <w:rsid w:val="00C139CA"/>
    <w:rsid w:val="00C13A7D"/>
    <w:rsid w:val="00C21121"/>
    <w:rsid w:val="00C22B75"/>
    <w:rsid w:val="00C241A8"/>
    <w:rsid w:val="00C24ABA"/>
    <w:rsid w:val="00C2641C"/>
    <w:rsid w:val="00C264CB"/>
    <w:rsid w:val="00C27F80"/>
    <w:rsid w:val="00C31253"/>
    <w:rsid w:val="00C31A93"/>
    <w:rsid w:val="00C34970"/>
    <w:rsid w:val="00C35129"/>
    <w:rsid w:val="00C41197"/>
    <w:rsid w:val="00C419DB"/>
    <w:rsid w:val="00C461AE"/>
    <w:rsid w:val="00C476F1"/>
    <w:rsid w:val="00C51429"/>
    <w:rsid w:val="00C51E8F"/>
    <w:rsid w:val="00C52CE9"/>
    <w:rsid w:val="00C52FC0"/>
    <w:rsid w:val="00C53F9E"/>
    <w:rsid w:val="00C54FDC"/>
    <w:rsid w:val="00C55873"/>
    <w:rsid w:val="00C559E9"/>
    <w:rsid w:val="00C608C1"/>
    <w:rsid w:val="00C61360"/>
    <w:rsid w:val="00C63D4E"/>
    <w:rsid w:val="00C63EA9"/>
    <w:rsid w:val="00C665A0"/>
    <w:rsid w:val="00C66853"/>
    <w:rsid w:val="00C67725"/>
    <w:rsid w:val="00C700F3"/>
    <w:rsid w:val="00C7092F"/>
    <w:rsid w:val="00C7539F"/>
    <w:rsid w:val="00C76DDA"/>
    <w:rsid w:val="00C807B3"/>
    <w:rsid w:val="00C8246E"/>
    <w:rsid w:val="00C825C9"/>
    <w:rsid w:val="00C86548"/>
    <w:rsid w:val="00C86CC3"/>
    <w:rsid w:val="00C86E37"/>
    <w:rsid w:val="00C901B1"/>
    <w:rsid w:val="00C90EBC"/>
    <w:rsid w:val="00C91B69"/>
    <w:rsid w:val="00C92736"/>
    <w:rsid w:val="00CA3856"/>
    <w:rsid w:val="00CA5A3F"/>
    <w:rsid w:val="00CA67E0"/>
    <w:rsid w:val="00CB0122"/>
    <w:rsid w:val="00CB0269"/>
    <w:rsid w:val="00CB0833"/>
    <w:rsid w:val="00CB18F5"/>
    <w:rsid w:val="00CB6960"/>
    <w:rsid w:val="00CC008E"/>
    <w:rsid w:val="00CC02ED"/>
    <w:rsid w:val="00CC5501"/>
    <w:rsid w:val="00CC63EB"/>
    <w:rsid w:val="00CD022A"/>
    <w:rsid w:val="00CD03BE"/>
    <w:rsid w:val="00CD0707"/>
    <w:rsid w:val="00CD1A25"/>
    <w:rsid w:val="00CD2E16"/>
    <w:rsid w:val="00CD65E7"/>
    <w:rsid w:val="00CD7BFC"/>
    <w:rsid w:val="00CD7D5E"/>
    <w:rsid w:val="00CE180D"/>
    <w:rsid w:val="00CE2B95"/>
    <w:rsid w:val="00CE2F1A"/>
    <w:rsid w:val="00CE3682"/>
    <w:rsid w:val="00CE5364"/>
    <w:rsid w:val="00CF1A11"/>
    <w:rsid w:val="00CF30FC"/>
    <w:rsid w:val="00CF4286"/>
    <w:rsid w:val="00CF5CB2"/>
    <w:rsid w:val="00D019BA"/>
    <w:rsid w:val="00D01B9F"/>
    <w:rsid w:val="00D03B38"/>
    <w:rsid w:val="00D03F87"/>
    <w:rsid w:val="00D0486C"/>
    <w:rsid w:val="00D04CD4"/>
    <w:rsid w:val="00D05C37"/>
    <w:rsid w:val="00D07174"/>
    <w:rsid w:val="00D07DB1"/>
    <w:rsid w:val="00D10819"/>
    <w:rsid w:val="00D11ADC"/>
    <w:rsid w:val="00D12095"/>
    <w:rsid w:val="00D17381"/>
    <w:rsid w:val="00D21AEC"/>
    <w:rsid w:val="00D22D06"/>
    <w:rsid w:val="00D24772"/>
    <w:rsid w:val="00D25AE4"/>
    <w:rsid w:val="00D26841"/>
    <w:rsid w:val="00D26E91"/>
    <w:rsid w:val="00D272A6"/>
    <w:rsid w:val="00D315DD"/>
    <w:rsid w:val="00D3441D"/>
    <w:rsid w:val="00D355C4"/>
    <w:rsid w:val="00D3612A"/>
    <w:rsid w:val="00D37703"/>
    <w:rsid w:val="00D37DBF"/>
    <w:rsid w:val="00D37F25"/>
    <w:rsid w:val="00D42F4F"/>
    <w:rsid w:val="00D44141"/>
    <w:rsid w:val="00D56A53"/>
    <w:rsid w:val="00D62BE9"/>
    <w:rsid w:val="00D6324F"/>
    <w:rsid w:val="00D63458"/>
    <w:rsid w:val="00D669DA"/>
    <w:rsid w:val="00D66D37"/>
    <w:rsid w:val="00D717F1"/>
    <w:rsid w:val="00D750CC"/>
    <w:rsid w:val="00D758DC"/>
    <w:rsid w:val="00D84369"/>
    <w:rsid w:val="00D84C8F"/>
    <w:rsid w:val="00D873AD"/>
    <w:rsid w:val="00D90BEE"/>
    <w:rsid w:val="00D91AAC"/>
    <w:rsid w:val="00D91C06"/>
    <w:rsid w:val="00D91C9F"/>
    <w:rsid w:val="00D9336A"/>
    <w:rsid w:val="00D93FD1"/>
    <w:rsid w:val="00D967FF"/>
    <w:rsid w:val="00DA08F5"/>
    <w:rsid w:val="00DA1B8B"/>
    <w:rsid w:val="00DA2ADC"/>
    <w:rsid w:val="00DA5CF7"/>
    <w:rsid w:val="00DB01E2"/>
    <w:rsid w:val="00DB0764"/>
    <w:rsid w:val="00DB1914"/>
    <w:rsid w:val="00DB3506"/>
    <w:rsid w:val="00DB7A9A"/>
    <w:rsid w:val="00DC3177"/>
    <w:rsid w:val="00DC3276"/>
    <w:rsid w:val="00DD08F8"/>
    <w:rsid w:val="00DD13AB"/>
    <w:rsid w:val="00DD2841"/>
    <w:rsid w:val="00DD323F"/>
    <w:rsid w:val="00DD37D8"/>
    <w:rsid w:val="00DD4EB5"/>
    <w:rsid w:val="00DD5902"/>
    <w:rsid w:val="00DE01A4"/>
    <w:rsid w:val="00DE0766"/>
    <w:rsid w:val="00DE3E40"/>
    <w:rsid w:val="00DE4597"/>
    <w:rsid w:val="00DE643F"/>
    <w:rsid w:val="00DE78D9"/>
    <w:rsid w:val="00DF5992"/>
    <w:rsid w:val="00DF6840"/>
    <w:rsid w:val="00E010AB"/>
    <w:rsid w:val="00E015AD"/>
    <w:rsid w:val="00E0233F"/>
    <w:rsid w:val="00E02678"/>
    <w:rsid w:val="00E050EC"/>
    <w:rsid w:val="00E05D10"/>
    <w:rsid w:val="00E06262"/>
    <w:rsid w:val="00E06EC2"/>
    <w:rsid w:val="00E0748A"/>
    <w:rsid w:val="00E128A9"/>
    <w:rsid w:val="00E143DA"/>
    <w:rsid w:val="00E145EF"/>
    <w:rsid w:val="00E14BA3"/>
    <w:rsid w:val="00E14F9C"/>
    <w:rsid w:val="00E15864"/>
    <w:rsid w:val="00E15F88"/>
    <w:rsid w:val="00E16423"/>
    <w:rsid w:val="00E16744"/>
    <w:rsid w:val="00E23081"/>
    <w:rsid w:val="00E24CDE"/>
    <w:rsid w:val="00E25953"/>
    <w:rsid w:val="00E27F5A"/>
    <w:rsid w:val="00E32BEA"/>
    <w:rsid w:val="00E32F5B"/>
    <w:rsid w:val="00E35B77"/>
    <w:rsid w:val="00E37564"/>
    <w:rsid w:val="00E3799F"/>
    <w:rsid w:val="00E37DA2"/>
    <w:rsid w:val="00E407EF"/>
    <w:rsid w:val="00E4121B"/>
    <w:rsid w:val="00E42FA4"/>
    <w:rsid w:val="00E43ACF"/>
    <w:rsid w:val="00E43B5E"/>
    <w:rsid w:val="00E440D0"/>
    <w:rsid w:val="00E449C2"/>
    <w:rsid w:val="00E45864"/>
    <w:rsid w:val="00E4622C"/>
    <w:rsid w:val="00E47F40"/>
    <w:rsid w:val="00E51FFB"/>
    <w:rsid w:val="00E52DD3"/>
    <w:rsid w:val="00E541C6"/>
    <w:rsid w:val="00E5471E"/>
    <w:rsid w:val="00E558A4"/>
    <w:rsid w:val="00E576D9"/>
    <w:rsid w:val="00E65673"/>
    <w:rsid w:val="00E65C76"/>
    <w:rsid w:val="00E65EA1"/>
    <w:rsid w:val="00E6605D"/>
    <w:rsid w:val="00E6611F"/>
    <w:rsid w:val="00E9168B"/>
    <w:rsid w:val="00E91A28"/>
    <w:rsid w:val="00E923A0"/>
    <w:rsid w:val="00E9265B"/>
    <w:rsid w:val="00E95253"/>
    <w:rsid w:val="00E95569"/>
    <w:rsid w:val="00E978F3"/>
    <w:rsid w:val="00E97972"/>
    <w:rsid w:val="00E97F8B"/>
    <w:rsid w:val="00EA0B52"/>
    <w:rsid w:val="00EA1CB1"/>
    <w:rsid w:val="00EA6125"/>
    <w:rsid w:val="00EB182C"/>
    <w:rsid w:val="00EC0435"/>
    <w:rsid w:val="00EC34D0"/>
    <w:rsid w:val="00EC7180"/>
    <w:rsid w:val="00ED10C4"/>
    <w:rsid w:val="00ED209D"/>
    <w:rsid w:val="00ED34CD"/>
    <w:rsid w:val="00ED418D"/>
    <w:rsid w:val="00ED46C4"/>
    <w:rsid w:val="00ED5F88"/>
    <w:rsid w:val="00ED664B"/>
    <w:rsid w:val="00ED7359"/>
    <w:rsid w:val="00ED7C2E"/>
    <w:rsid w:val="00EE5111"/>
    <w:rsid w:val="00EF157F"/>
    <w:rsid w:val="00EF2730"/>
    <w:rsid w:val="00EF28D7"/>
    <w:rsid w:val="00EF5550"/>
    <w:rsid w:val="00F01D63"/>
    <w:rsid w:val="00F03786"/>
    <w:rsid w:val="00F03AB8"/>
    <w:rsid w:val="00F05D09"/>
    <w:rsid w:val="00F05E37"/>
    <w:rsid w:val="00F07897"/>
    <w:rsid w:val="00F07EF7"/>
    <w:rsid w:val="00F112AC"/>
    <w:rsid w:val="00F130AD"/>
    <w:rsid w:val="00F14FEA"/>
    <w:rsid w:val="00F2002D"/>
    <w:rsid w:val="00F22093"/>
    <w:rsid w:val="00F227E8"/>
    <w:rsid w:val="00F24647"/>
    <w:rsid w:val="00F26374"/>
    <w:rsid w:val="00F26A9F"/>
    <w:rsid w:val="00F30DE4"/>
    <w:rsid w:val="00F31CE2"/>
    <w:rsid w:val="00F331B5"/>
    <w:rsid w:val="00F34AF9"/>
    <w:rsid w:val="00F40A67"/>
    <w:rsid w:val="00F41E62"/>
    <w:rsid w:val="00F42C8F"/>
    <w:rsid w:val="00F45725"/>
    <w:rsid w:val="00F47B58"/>
    <w:rsid w:val="00F47BED"/>
    <w:rsid w:val="00F52328"/>
    <w:rsid w:val="00F53521"/>
    <w:rsid w:val="00F53991"/>
    <w:rsid w:val="00F544AD"/>
    <w:rsid w:val="00F54D2D"/>
    <w:rsid w:val="00F55481"/>
    <w:rsid w:val="00F61722"/>
    <w:rsid w:val="00F617C6"/>
    <w:rsid w:val="00F6208E"/>
    <w:rsid w:val="00F64426"/>
    <w:rsid w:val="00F66A33"/>
    <w:rsid w:val="00F66F7C"/>
    <w:rsid w:val="00F67569"/>
    <w:rsid w:val="00F70BA5"/>
    <w:rsid w:val="00F70BE3"/>
    <w:rsid w:val="00F71818"/>
    <w:rsid w:val="00F73842"/>
    <w:rsid w:val="00F73B39"/>
    <w:rsid w:val="00F74981"/>
    <w:rsid w:val="00F75433"/>
    <w:rsid w:val="00F75C04"/>
    <w:rsid w:val="00F81F50"/>
    <w:rsid w:val="00F90692"/>
    <w:rsid w:val="00F95772"/>
    <w:rsid w:val="00FA0846"/>
    <w:rsid w:val="00FA22A5"/>
    <w:rsid w:val="00FA27ED"/>
    <w:rsid w:val="00FA5745"/>
    <w:rsid w:val="00FA6AE0"/>
    <w:rsid w:val="00FB2CA2"/>
    <w:rsid w:val="00FB4289"/>
    <w:rsid w:val="00FB5140"/>
    <w:rsid w:val="00FC0149"/>
    <w:rsid w:val="00FC1824"/>
    <w:rsid w:val="00FC2985"/>
    <w:rsid w:val="00FC3F46"/>
    <w:rsid w:val="00FC5449"/>
    <w:rsid w:val="00FC7254"/>
    <w:rsid w:val="00FD008B"/>
    <w:rsid w:val="00FD04C6"/>
    <w:rsid w:val="00FD0E0E"/>
    <w:rsid w:val="00FD103A"/>
    <w:rsid w:val="00FD12A2"/>
    <w:rsid w:val="00FD353D"/>
    <w:rsid w:val="00FD398E"/>
    <w:rsid w:val="00FD424D"/>
    <w:rsid w:val="00FD5803"/>
    <w:rsid w:val="00FD5986"/>
    <w:rsid w:val="00FE2CE3"/>
    <w:rsid w:val="00FE2CF0"/>
    <w:rsid w:val="00FE31EA"/>
    <w:rsid w:val="00FE4B69"/>
    <w:rsid w:val="00FE7F11"/>
    <w:rsid w:val="00FF20D4"/>
    <w:rsid w:val="00FF2AF6"/>
    <w:rsid w:val="00FF374C"/>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9A34F3E"/>
  <w15:chartTrackingRefBased/>
  <w15:docId w15:val="{29229DDB-C3CC-456D-9D9C-251A8BD1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85619796">
      <w:bodyDiv w:val="1"/>
      <w:marLeft w:val="0"/>
      <w:marRight w:val="0"/>
      <w:marTop w:val="0"/>
      <w:marBottom w:val="0"/>
      <w:divBdr>
        <w:top w:val="none" w:sz="0" w:space="0" w:color="auto"/>
        <w:left w:val="none" w:sz="0" w:space="0" w:color="auto"/>
        <w:bottom w:val="none" w:sz="0" w:space="0" w:color="auto"/>
        <w:right w:val="none" w:sz="0" w:space="0" w:color="auto"/>
      </w:divBdr>
      <w:divsChild>
        <w:div w:id="31736383">
          <w:marLeft w:val="547"/>
          <w:marRight w:val="0"/>
          <w:marTop w:val="120"/>
          <w:marBottom w:val="0"/>
          <w:divBdr>
            <w:top w:val="none" w:sz="0" w:space="0" w:color="auto"/>
            <w:left w:val="none" w:sz="0" w:space="0" w:color="auto"/>
            <w:bottom w:val="none" w:sz="0" w:space="0" w:color="auto"/>
            <w:right w:val="none" w:sz="0" w:space="0" w:color="auto"/>
          </w:divBdr>
        </w:div>
      </w:divsChild>
    </w:div>
    <w:div w:id="87234226">
      <w:bodyDiv w:val="1"/>
      <w:marLeft w:val="0"/>
      <w:marRight w:val="0"/>
      <w:marTop w:val="0"/>
      <w:marBottom w:val="0"/>
      <w:divBdr>
        <w:top w:val="none" w:sz="0" w:space="0" w:color="auto"/>
        <w:left w:val="none" w:sz="0" w:space="0" w:color="auto"/>
        <w:bottom w:val="none" w:sz="0" w:space="0" w:color="auto"/>
        <w:right w:val="none" w:sz="0" w:space="0" w:color="auto"/>
      </w:divBdr>
      <w:divsChild>
        <w:div w:id="101386741">
          <w:marLeft w:val="547"/>
          <w:marRight w:val="0"/>
          <w:marTop w:val="120"/>
          <w:marBottom w:val="0"/>
          <w:divBdr>
            <w:top w:val="none" w:sz="0" w:space="0" w:color="auto"/>
            <w:left w:val="none" w:sz="0" w:space="0" w:color="auto"/>
            <w:bottom w:val="none" w:sz="0" w:space="0" w:color="auto"/>
            <w:right w:val="none" w:sz="0" w:space="0" w:color="auto"/>
          </w:divBdr>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49" TargetMode="External"/><Relationship Id="rId13" Type="http://schemas.openxmlformats.org/officeDocument/2006/relationships/hyperlink" Target="https://www.nice.org.uk/guidance/ta680" TargetMode="External"/><Relationship Id="rId18"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indevelopment/gid-ta10449/documents" TargetMode="External"/><Relationship Id="rId17" Type="http://schemas.openxmlformats.org/officeDocument/2006/relationships/hyperlink" Target="https://www.nice.org.uk/Get-Involved/Meetings-in-public/Technology-appraisal-Committee/Committee-B-Members" TargetMode="External"/><Relationship Id="rId2" Type="http://schemas.openxmlformats.org/officeDocument/2006/relationships/numbering" Target="numbering.xml"/><Relationship Id="rId16" Type="http://schemas.openxmlformats.org/officeDocument/2006/relationships/hyperlink" Target="https://www.nice.org.uk/about/what-we-do/our-programmes/nice-guidance/nice-technology-appraisal-guidance/cancer-drugs-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et-Involved/Meetings-in-public/Technology-appraisal-Committee/Committee-B-Members" TargetMode="External"/><Relationship Id="rId5" Type="http://schemas.openxmlformats.org/officeDocument/2006/relationships/webSettings" Target="webSettings.xml"/><Relationship Id="rId15" Type="http://schemas.openxmlformats.org/officeDocument/2006/relationships/hyperlink" Target="https://www.nice.org.uk/Media/Default/About/what-we-do/NICE-guidance/NICE-technology-appraisal-guidance/cancer-drugs-fund/CDF-comparator-position-statement.pdf" TargetMode="External"/><Relationship Id="rId10" Type="http://schemas.openxmlformats.org/officeDocument/2006/relationships/hyperlink" Target="https://www.medicines.org.uk/emc/product/11488/smp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ocess/pmg19/chapter/Foreword" TargetMode="External"/><Relationship Id="rId14" Type="http://schemas.openxmlformats.org/officeDocument/2006/relationships/hyperlink" Target="https://www.nice.org.uk/guidance/ta57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6810</Words>
  <Characters>41908</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48621</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Iordanis Sidiropoulos</dc:creator>
  <cp:keywords/>
  <cp:lastModifiedBy>Joanne Ekeledo</cp:lastModifiedBy>
  <cp:revision>3</cp:revision>
  <cp:lastPrinted>2021-05-20T12:45:00Z</cp:lastPrinted>
  <dcterms:created xsi:type="dcterms:W3CDTF">2021-05-20T12:44:00Z</dcterms:created>
  <dcterms:modified xsi:type="dcterms:W3CDTF">2021-05-20T12:51:00Z</dcterms:modified>
</cp:coreProperties>
</file>