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BE3A" w14:textId="77777777" w:rsidR="002E6BA6" w:rsidRDefault="004C253F">
      <w:pPr>
        <w:pStyle w:val="BodyText"/>
        <w:ind w:left="9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00D6C3" wp14:editId="523B9FC0">
            <wp:extent cx="4048846" cy="1278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846" cy="127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A4B1" w14:textId="77777777" w:rsidR="002E6BA6" w:rsidRDefault="002E6BA6">
      <w:pPr>
        <w:pStyle w:val="BodyText"/>
        <w:spacing w:before="10"/>
        <w:rPr>
          <w:rFonts w:ascii="Times New Roman"/>
          <w:sz w:val="15"/>
        </w:rPr>
      </w:pPr>
    </w:p>
    <w:p w14:paraId="6E96EA2C" w14:textId="77777777" w:rsidR="002E6BA6" w:rsidRDefault="002E6BA6">
      <w:pPr>
        <w:rPr>
          <w:rFonts w:ascii="Times New Roman"/>
          <w:sz w:val="15"/>
        </w:rPr>
        <w:sectPr w:rsidR="002E6BA6">
          <w:type w:val="continuous"/>
          <w:pgSz w:w="11910" w:h="16840"/>
          <w:pgMar w:top="420" w:right="1620" w:bottom="280" w:left="1680" w:header="720" w:footer="720" w:gutter="0"/>
          <w:cols w:space="720"/>
        </w:sectPr>
      </w:pPr>
    </w:p>
    <w:p w14:paraId="2EA28BF4" w14:textId="77777777" w:rsidR="002E6BA6" w:rsidRDefault="002E6BA6">
      <w:pPr>
        <w:pStyle w:val="BodyText"/>
        <w:rPr>
          <w:rFonts w:ascii="Times New Roman"/>
        </w:rPr>
      </w:pPr>
    </w:p>
    <w:p w14:paraId="2CDFCDC2" w14:textId="77777777" w:rsidR="002E6BA6" w:rsidRDefault="002E6BA6">
      <w:pPr>
        <w:pStyle w:val="BodyText"/>
        <w:rPr>
          <w:rFonts w:ascii="Times New Roman"/>
        </w:rPr>
      </w:pPr>
    </w:p>
    <w:p w14:paraId="20E55535" w14:textId="77777777" w:rsidR="002E6BA6" w:rsidRDefault="002E6BA6">
      <w:pPr>
        <w:pStyle w:val="BodyText"/>
        <w:spacing w:before="1"/>
        <w:rPr>
          <w:rFonts w:ascii="Times New Roman"/>
          <w:sz w:val="19"/>
        </w:rPr>
      </w:pPr>
    </w:p>
    <w:p w14:paraId="1902A1E8" w14:textId="77777777" w:rsidR="002E6BA6" w:rsidRDefault="004C253F">
      <w:pPr>
        <w:pStyle w:val="BodyText"/>
        <w:spacing w:line="217" w:lineRule="exact"/>
        <w:ind w:left="204"/>
      </w:pPr>
      <w:r>
        <w:t>Dr</w:t>
      </w:r>
      <w:r>
        <w:rPr>
          <w:spacing w:val="-3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Chakravarty</w:t>
      </w:r>
    </w:p>
    <w:p w14:paraId="1509F7FB" w14:textId="77777777" w:rsidR="002E6BA6" w:rsidRDefault="004C253F">
      <w:pPr>
        <w:spacing w:before="44"/>
        <w:ind w:left="204"/>
        <w:rPr>
          <w:b/>
          <w:sz w:val="28"/>
        </w:rPr>
      </w:pPr>
      <w:r>
        <w:br w:type="column"/>
      </w:r>
      <w:hyperlink r:id="rId6">
        <w:r>
          <w:rPr>
            <w:b/>
            <w:sz w:val="28"/>
          </w:rPr>
          <w:t>www.femisa.org.uk</w:t>
        </w:r>
      </w:hyperlink>
    </w:p>
    <w:p w14:paraId="3A7B2297" w14:textId="77777777" w:rsidR="002E6BA6" w:rsidRDefault="004C253F">
      <w:pPr>
        <w:pStyle w:val="BodyText"/>
        <w:spacing w:before="8"/>
        <w:rPr>
          <w:b/>
          <w:sz w:val="31"/>
        </w:rPr>
      </w:pPr>
      <w:r>
        <w:br w:type="column"/>
      </w:r>
    </w:p>
    <w:p w14:paraId="20EABC7F" w14:textId="77777777" w:rsidR="002E6BA6" w:rsidRDefault="004C253F">
      <w:pPr>
        <w:spacing w:before="1" w:line="243" w:lineRule="exact"/>
        <w:ind w:left="204"/>
        <w:rPr>
          <w:rFonts w:ascii="Times New Roman"/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reply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rFonts w:ascii="Times New Roman"/>
          <w:sz w:val="20"/>
        </w:rPr>
        <w:t>-</w:t>
      </w:r>
    </w:p>
    <w:p w14:paraId="684E0C1B" w14:textId="77777777" w:rsidR="002E6BA6" w:rsidRDefault="004C253F">
      <w:pPr>
        <w:pStyle w:val="BodyText"/>
        <w:spacing w:line="268" w:lineRule="exact"/>
        <w:ind w:left="1306"/>
      </w:pPr>
      <w:r>
        <w:t>Royal</w:t>
      </w:r>
      <w:r>
        <w:rPr>
          <w:spacing w:val="-4"/>
        </w:rPr>
        <w:t xml:space="preserve"> </w:t>
      </w:r>
      <w:r>
        <w:t>Oak</w:t>
      </w:r>
      <w:r>
        <w:rPr>
          <w:spacing w:val="-4"/>
        </w:rPr>
        <w:t xml:space="preserve"> </w:t>
      </w:r>
      <w:r>
        <w:t>House</w:t>
      </w:r>
    </w:p>
    <w:p w14:paraId="15335BF3" w14:textId="77777777" w:rsidR="002E6BA6" w:rsidRDefault="002E6BA6">
      <w:pPr>
        <w:spacing w:line="268" w:lineRule="exact"/>
        <w:sectPr w:rsidR="002E6BA6">
          <w:type w:val="continuous"/>
          <w:pgSz w:w="11910" w:h="16840"/>
          <w:pgMar w:top="420" w:right="1620" w:bottom="280" w:left="1680" w:header="720" w:footer="720" w:gutter="0"/>
          <w:cols w:num="3" w:space="720" w:equalWidth="0">
            <w:col w:w="2103" w:space="818"/>
            <w:col w:w="2542" w:space="213"/>
            <w:col w:w="2934"/>
          </w:cols>
        </w:sectPr>
      </w:pPr>
    </w:p>
    <w:p w14:paraId="6E5B4195" w14:textId="77777777" w:rsidR="002E6BA6" w:rsidRDefault="004C253F">
      <w:pPr>
        <w:pStyle w:val="BodyText"/>
        <w:spacing w:before="52"/>
        <w:ind w:left="204" w:right="25"/>
      </w:pPr>
      <w:r>
        <w:t>Lead Non-Executive Director for Appeals</w:t>
      </w:r>
      <w:r>
        <w:rPr>
          <w:spacing w:val="-47"/>
        </w:rPr>
        <w:t xml:space="preserve"> </w:t>
      </w:r>
      <w:r>
        <w:t>National Institute for Health and Care</w:t>
      </w:r>
      <w:r>
        <w:rPr>
          <w:spacing w:val="1"/>
        </w:rPr>
        <w:t xml:space="preserve"> </w:t>
      </w:r>
      <w:r>
        <w:t>Excellence</w:t>
      </w:r>
    </w:p>
    <w:p w14:paraId="3DEFD5D5" w14:textId="77777777" w:rsidR="002E6BA6" w:rsidRDefault="004C253F">
      <w:pPr>
        <w:pStyle w:val="BodyText"/>
        <w:spacing w:before="1"/>
        <w:ind w:left="204" w:right="1261"/>
      </w:pPr>
      <w:r>
        <w:t>2nd Floor, 2 Redman Place</w:t>
      </w:r>
      <w:r>
        <w:rPr>
          <w:spacing w:val="-47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E20</w:t>
      </w:r>
      <w:r>
        <w:rPr>
          <w:spacing w:val="-2"/>
        </w:rPr>
        <w:t xml:space="preserve"> </w:t>
      </w:r>
      <w:r>
        <w:t>1JQ</w:t>
      </w:r>
    </w:p>
    <w:p w14:paraId="34EB2B04" w14:textId="77777777" w:rsidR="002E6BA6" w:rsidRDefault="004C253F">
      <w:pPr>
        <w:pStyle w:val="Heading1"/>
        <w:spacing w:before="1"/>
        <w:ind w:left="204"/>
      </w:pPr>
      <w:r>
        <w:t>BY</w:t>
      </w:r>
      <w:r>
        <w:rPr>
          <w:spacing w:val="-2"/>
        </w:rPr>
        <w:t xml:space="preserve"> </w:t>
      </w:r>
      <w:r>
        <w:t>E-MAIL</w:t>
      </w:r>
    </w:p>
    <w:p w14:paraId="3CDDFBBD" w14:textId="77777777" w:rsidR="002E6BA6" w:rsidRDefault="004C253F">
      <w:pPr>
        <w:pStyle w:val="BodyText"/>
        <w:spacing w:line="225" w:lineRule="exact"/>
        <w:ind w:right="112"/>
        <w:jc w:val="right"/>
      </w:pPr>
      <w:r>
        <w:br w:type="column"/>
      </w:r>
      <w:proofErr w:type="spellStart"/>
      <w:r>
        <w:t>Stowood</w:t>
      </w:r>
      <w:proofErr w:type="spellEnd"/>
    </w:p>
    <w:p w14:paraId="2B0F5FD9" w14:textId="77777777" w:rsidR="002E6BA6" w:rsidRDefault="004C253F">
      <w:pPr>
        <w:pStyle w:val="BodyText"/>
        <w:ind w:left="1244" w:right="112" w:firstLine="67"/>
        <w:jc w:val="both"/>
      </w:pPr>
      <w:r>
        <w:rPr>
          <w:spacing w:val="-2"/>
        </w:rPr>
        <w:t>Beckley</w:t>
      </w:r>
      <w:r>
        <w:rPr>
          <w:spacing w:val="-48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rPr>
          <w:spacing w:val="-4"/>
        </w:rPr>
        <w:t>OX3</w:t>
      </w:r>
      <w:r>
        <w:rPr>
          <w:spacing w:val="-8"/>
        </w:rPr>
        <w:t xml:space="preserve"> </w:t>
      </w:r>
      <w:r>
        <w:rPr>
          <w:spacing w:val="-4"/>
        </w:rPr>
        <w:t>9TY</w:t>
      </w:r>
    </w:p>
    <w:p w14:paraId="07DCC7AD" w14:textId="56D09C46" w:rsidR="002E6BA6" w:rsidRDefault="001A6F6D">
      <w:pPr>
        <w:pStyle w:val="BodyText"/>
        <w:spacing w:line="267" w:lineRule="exact"/>
        <w:ind w:right="172"/>
        <w:jc w:val="right"/>
      </w:pPr>
      <w:hyperlink r:id="rId7">
        <w:proofErr w:type="spellStart"/>
        <w:r w:rsidRPr="001A6F6D">
          <w:rPr>
            <w:highlight w:val="black"/>
          </w:rPr>
          <w:t>xxxxxxxxxxxxxx</w:t>
        </w:r>
        <w:proofErr w:type="spellEnd"/>
      </w:hyperlink>
    </w:p>
    <w:p w14:paraId="3BE4E208" w14:textId="77777777" w:rsidR="002E6BA6" w:rsidRDefault="002E6BA6">
      <w:pPr>
        <w:pStyle w:val="BodyText"/>
      </w:pPr>
    </w:p>
    <w:p w14:paraId="56C030DC" w14:textId="77777777" w:rsidR="002E6BA6" w:rsidRDefault="002E6BA6">
      <w:pPr>
        <w:pStyle w:val="BodyText"/>
        <w:spacing w:before="1"/>
      </w:pPr>
    </w:p>
    <w:p w14:paraId="261F4D9A" w14:textId="77777777" w:rsidR="002E6BA6" w:rsidRDefault="004C253F">
      <w:pPr>
        <w:pStyle w:val="BodyText"/>
        <w:ind w:left="842"/>
      </w:pPr>
      <w:r>
        <w:rPr>
          <w:spacing w:val="-1"/>
        </w:rPr>
        <w:t>23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2022</w:t>
      </w:r>
    </w:p>
    <w:p w14:paraId="19F0D315" w14:textId="77777777" w:rsidR="002E6BA6" w:rsidRDefault="002E6BA6">
      <w:pPr>
        <w:sectPr w:rsidR="002E6BA6">
          <w:type w:val="continuous"/>
          <w:pgSz w:w="11910" w:h="16840"/>
          <w:pgMar w:top="420" w:right="1620" w:bottom="280" w:left="1680" w:header="720" w:footer="720" w:gutter="0"/>
          <w:cols w:num="2" w:space="720" w:equalWidth="0">
            <w:col w:w="3867" w:space="2647"/>
            <w:col w:w="2096"/>
          </w:cols>
        </w:sectPr>
      </w:pPr>
    </w:p>
    <w:p w14:paraId="46DE80B4" w14:textId="77777777" w:rsidR="002E6BA6" w:rsidRDefault="002E6BA6">
      <w:pPr>
        <w:pStyle w:val="BodyText"/>
        <w:spacing w:before="5"/>
        <w:rPr>
          <w:sz w:val="17"/>
        </w:rPr>
      </w:pPr>
    </w:p>
    <w:p w14:paraId="60FC5C72" w14:textId="77777777" w:rsidR="002E6BA6" w:rsidRDefault="004C253F">
      <w:pPr>
        <w:pStyle w:val="BodyText"/>
        <w:spacing w:before="57"/>
        <w:ind w:left="120"/>
        <w:jc w:val="both"/>
      </w:pPr>
      <w:r>
        <w:t>Dear</w:t>
      </w:r>
      <w:r>
        <w:rPr>
          <w:spacing w:val="-3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Chakravarty,</w:t>
      </w:r>
    </w:p>
    <w:p w14:paraId="4C736033" w14:textId="77777777" w:rsidR="002E6BA6" w:rsidRDefault="002E6BA6">
      <w:pPr>
        <w:pStyle w:val="BodyText"/>
      </w:pPr>
    </w:p>
    <w:p w14:paraId="013E55C1" w14:textId="77777777" w:rsidR="002E6BA6" w:rsidRDefault="004C253F">
      <w:pPr>
        <w:pStyle w:val="Heading1"/>
        <w:ind w:right="176"/>
        <w:jc w:val="both"/>
      </w:pPr>
      <w:r>
        <w:t>Final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Relugolix</w:t>
      </w:r>
      <w:proofErr w:type="spellEnd"/>
      <w:r>
        <w:t>–estradiol–norethisterone</w:t>
      </w:r>
      <w:r>
        <w:rPr>
          <w:spacing w:val="1"/>
        </w:rPr>
        <w:t xml:space="preserve"> </w:t>
      </w:r>
      <w:r>
        <w:t>acetate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symptoms of</w:t>
      </w:r>
      <w:r>
        <w:rPr>
          <w:spacing w:val="-1"/>
        </w:rPr>
        <w:t xml:space="preserve"> </w:t>
      </w:r>
      <w:r>
        <w:t>uterine</w:t>
      </w:r>
      <w:r>
        <w:rPr>
          <w:spacing w:val="-2"/>
        </w:rPr>
        <w:t xml:space="preserve"> </w:t>
      </w:r>
      <w:r>
        <w:t>fibroids</w:t>
      </w:r>
      <w:r>
        <w:rPr>
          <w:spacing w:val="3"/>
        </w:rPr>
        <w:t xml:space="preserve"> </w:t>
      </w:r>
      <w:r>
        <w:t>ID3842</w:t>
      </w:r>
    </w:p>
    <w:p w14:paraId="4F6C7CB1" w14:textId="77777777" w:rsidR="002E6BA6" w:rsidRDefault="002E6BA6">
      <w:pPr>
        <w:pStyle w:val="BodyText"/>
        <w:spacing w:before="11"/>
        <w:rPr>
          <w:b/>
          <w:sz w:val="21"/>
        </w:rPr>
      </w:pPr>
    </w:p>
    <w:p w14:paraId="0FF87942" w14:textId="77777777" w:rsidR="002E6BA6" w:rsidRDefault="004C253F">
      <w:pPr>
        <w:pStyle w:val="BodyText"/>
        <w:ind w:left="120" w:right="174"/>
        <w:jc w:val="both"/>
      </w:pPr>
      <w:proofErr w:type="spellStart"/>
      <w:r>
        <w:t>FEmISA</w:t>
      </w:r>
      <w:proofErr w:type="spellEnd"/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Appraisal,</w:t>
      </w:r>
      <w:r>
        <w:rPr>
          <w:spacing w:val="1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 xml:space="preserve">included concerns over the safety, </w:t>
      </w:r>
      <w:proofErr w:type="gramStart"/>
      <w:r>
        <w:t>efficacy</w:t>
      </w:r>
      <w:proofErr w:type="gramEnd"/>
      <w:r>
        <w:t xml:space="preserve"> and side effects of this medicine.</w:t>
      </w:r>
      <w:r>
        <w:rPr>
          <w:spacing w:val="1"/>
        </w:rPr>
        <w:t xml:space="preserve"> </w:t>
      </w:r>
      <w:r>
        <w:t xml:space="preserve">While </w:t>
      </w:r>
      <w:proofErr w:type="spellStart"/>
      <w:r>
        <w:t>FEmISA</w:t>
      </w:r>
      <w:proofErr w:type="spellEnd"/>
      <w:r>
        <w:rPr>
          <w:spacing w:val="1"/>
        </w:rPr>
        <w:t xml:space="preserve"> </w:t>
      </w:r>
      <w:r>
        <w:t>does not appeal 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 of this medicine we</w:t>
      </w:r>
      <w:r>
        <w:rPr>
          <w:spacing w:val="1"/>
        </w:rPr>
        <w:t xml:space="preserve"> </w:t>
      </w:r>
      <w:r>
        <w:t>understand a positive Technology</w:t>
      </w:r>
      <w:r>
        <w:rPr>
          <w:spacing w:val="1"/>
        </w:rPr>
        <w:t xml:space="preserve"> </w:t>
      </w:r>
      <w:r>
        <w:t>Appraisal is supposed to be mandatory to CCGs and now ICSs to implement and there should</w:t>
      </w:r>
      <w:r>
        <w:rPr>
          <w:spacing w:val="-47"/>
        </w:rPr>
        <w:t xml:space="preserve"> </w:t>
      </w:r>
      <w:r>
        <w:t>be safeguards and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medicine.</w:t>
      </w:r>
    </w:p>
    <w:p w14:paraId="4A508795" w14:textId="77777777" w:rsidR="002E6BA6" w:rsidRDefault="002E6BA6">
      <w:pPr>
        <w:pStyle w:val="BodyText"/>
        <w:spacing w:before="2"/>
      </w:pPr>
    </w:p>
    <w:p w14:paraId="0E6E3839" w14:textId="77777777" w:rsidR="002E6BA6" w:rsidRDefault="004C253F">
      <w:pPr>
        <w:pStyle w:val="BodyText"/>
        <w:ind w:left="120" w:right="600"/>
      </w:pPr>
      <w:r>
        <w:t>We appeal on the grounds that: The recommendation is unreasonable in the light of the</w:t>
      </w:r>
      <w:r>
        <w:rPr>
          <w:spacing w:val="-47"/>
        </w:rPr>
        <w:t xml:space="preserve"> </w:t>
      </w:r>
      <w:r>
        <w:t>evidence submitted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NICE.</w:t>
      </w:r>
    </w:p>
    <w:p w14:paraId="356F950F" w14:textId="77777777" w:rsidR="002E6BA6" w:rsidRDefault="002E6BA6">
      <w:pPr>
        <w:pStyle w:val="BodyText"/>
        <w:spacing w:before="10"/>
        <w:rPr>
          <w:sz w:val="21"/>
        </w:rPr>
      </w:pPr>
    </w:p>
    <w:p w14:paraId="14B63CB0" w14:textId="77777777" w:rsidR="002E6BA6" w:rsidRDefault="004C253F">
      <w:pPr>
        <w:pStyle w:val="BodyText"/>
        <w:ind w:left="120" w:right="174"/>
        <w:jc w:val="both"/>
      </w:pPr>
      <w:r>
        <w:rPr>
          <w:b/>
        </w:rPr>
        <w:t>Efficacy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NICE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Relugolix</w:t>
      </w:r>
      <w:proofErr w:type="spellEnd"/>
      <w:r>
        <w:rPr>
          <w:spacing w:val="1"/>
        </w:rPr>
        <w:t xml:space="preserve"> </w:t>
      </w:r>
      <w:r>
        <w:rPr>
          <w:i/>
          <w:color w:val="006FC0"/>
        </w:rPr>
        <w:t>“is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an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effective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non-surgical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treatment</w:t>
      </w:r>
      <w:r>
        <w:t>”.</w:t>
      </w:r>
      <w:r>
        <w:rPr>
          <w:spacing w:val="1"/>
        </w:rPr>
        <w:t xml:space="preserve"> </w:t>
      </w:r>
      <w:r>
        <w:t>There was no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submitted or considered</w:t>
      </w:r>
      <w:r>
        <w:rPr>
          <w:spacing w:val="49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it is</w:t>
      </w:r>
      <w:r>
        <w:rPr>
          <w:spacing w:val="50"/>
        </w:rPr>
        <w:t xml:space="preserve"> </w:t>
      </w:r>
      <w:r>
        <w:t>as effective as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symptomatic</w:t>
      </w:r>
      <w:r>
        <w:rPr>
          <w:spacing w:val="1"/>
        </w:rPr>
        <w:t xml:space="preserve"> </w:t>
      </w:r>
      <w:r>
        <w:t>fibroids</w:t>
      </w:r>
      <w:r>
        <w:rPr>
          <w:spacing w:val="1"/>
        </w:rPr>
        <w:t xml:space="preserve"> 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uterine</w:t>
      </w:r>
      <w:r>
        <w:rPr>
          <w:spacing w:val="1"/>
        </w:rPr>
        <w:t xml:space="preserve"> </w:t>
      </w:r>
      <w:r>
        <w:t>artery/fibroid</w:t>
      </w:r>
      <w:r>
        <w:rPr>
          <w:spacing w:val="1"/>
        </w:rPr>
        <w:t xml:space="preserve"> </w:t>
      </w:r>
      <w:proofErr w:type="spellStart"/>
      <w:r>
        <w:t>embolisation</w:t>
      </w:r>
      <w:proofErr w:type="spellEnd"/>
      <w:r>
        <w:rPr>
          <w:spacing w:val="-47"/>
        </w:rPr>
        <w:t xml:space="preserve"> </w:t>
      </w:r>
      <w:r>
        <w:t>[UAE/UFE], myomectomy, hysterectomy, MR guided focused ultrasound and endometrial</w:t>
      </w:r>
      <w:r>
        <w:rPr>
          <w:spacing w:val="1"/>
        </w:rPr>
        <w:t xml:space="preserve"> </w:t>
      </w:r>
      <w:r>
        <w:t>ablation for fibroids &lt;3cm, which are proven long-term treatments for symptomatic fibroids.</w:t>
      </w:r>
      <w:r>
        <w:rPr>
          <w:spacing w:val="1"/>
        </w:rPr>
        <w:t xml:space="preserve"> </w:t>
      </w:r>
      <w:r>
        <w:t>(Both hysterectomy and myomectomy have never been formally reviewed for safety or</w:t>
      </w:r>
      <w:r>
        <w:rPr>
          <w:spacing w:val="1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paucity</w:t>
      </w:r>
      <w:r>
        <w:rPr>
          <w:spacing w:val="-2"/>
        </w:rPr>
        <w:t xml:space="preserve"> </w:t>
      </w:r>
      <w:r>
        <w:t>of evidence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morbidity and</w:t>
      </w:r>
      <w:r>
        <w:rPr>
          <w:spacing w:val="-3"/>
        </w:rPr>
        <w:t xml:space="preserve"> </w:t>
      </w:r>
      <w:r>
        <w:t>mortality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myomectomy.)</w:t>
      </w:r>
    </w:p>
    <w:p w14:paraId="2E42F66B" w14:textId="77777777" w:rsidR="002E6BA6" w:rsidRDefault="002E6BA6">
      <w:pPr>
        <w:pStyle w:val="BodyText"/>
        <w:spacing w:before="2"/>
      </w:pPr>
    </w:p>
    <w:p w14:paraId="59F42F7A" w14:textId="77777777" w:rsidR="002E6BA6" w:rsidRDefault="004C253F">
      <w:pPr>
        <w:pStyle w:val="BodyText"/>
        <w:ind w:left="120" w:right="600"/>
      </w:pP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serious</w:t>
      </w:r>
      <w:r>
        <w:rPr>
          <w:spacing w:val="3"/>
        </w:rPr>
        <w:t xml:space="preserve"> </w:t>
      </w:r>
      <w:r>
        <w:t>concern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women</w:t>
      </w:r>
      <w:r>
        <w:rPr>
          <w:spacing w:val="3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denied</w:t>
      </w:r>
      <w:r>
        <w:rPr>
          <w:spacing w:val="5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hospital</w:t>
      </w:r>
      <w:r>
        <w:rPr>
          <w:spacing w:val="-47"/>
        </w:rPr>
        <w:t xml:space="preserve"> </w:t>
      </w:r>
      <w:r>
        <w:t>treatments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CCGs/ICSs as this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is so</w:t>
      </w:r>
      <w:r>
        <w:rPr>
          <w:spacing w:val="-1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cheaper.</w:t>
      </w:r>
    </w:p>
    <w:p w14:paraId="07CE358A" w14:textId="77777777" w:rsidR="002E6BA6" w:rsidRDefault="002E6BA6">
      <w:pPr>
        <w:pStyle w:val="BodyText"/>
        <w:spacing w:before="11"/>
        <w:rPr>
          <w:sz w:val="21"/>
        </w:rPr>
      </w:pPr>
    </w:p>
    <w:p w14:paraId="0CE896EC" w14:textId="77777777" w:rsidR="002E6BA6" w:rsidRDefault="004C253F">
      <w:pPr>
        <w:pStyle w:val="BodyText"/>
        <w:ind w:left="120" w:right="600"/>
      </w:pPr>
      <w:r>
        <w:t>The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submitted</w:t>
      </w:r>
      <w:r>
        <w:rPr>
          <w:spacing w:val="49"/>
        </w:rPr>
        <w:t xml:space="preserve"> </w:t>
      </w:r>
      <w:r>
        <w:t>was</w:t>
      </w:r>
      <w:r>
        <w:rPr>
          <w:spacing w:val="3"/>
        </w:rPr>
        <w:t xml:space="preserve"> </w:t>
      </w:r>
      <w:proofErr w:type="gramStart"/>
      <w:r>
        <w:t>for  treatment</w:t>
      </w:r>
      <w:proofErr w:type="gramEnd"/>
      <w:r>
        <w:rPr>
          <w:spacing w:val="4"/>
        </w:rPr>
        <w:t xml:space="preserve"> </w:t>
      </w:r>
      <w:r>
        <w:t>duration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efficacy</w:t>
      </w:r>
      <w:r>
        <w:rPr>
          <w:spacing w:val="-47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this is not</w:t>
      </w:r>
      <w:r>
        <w:rPr>
          <w:spacing w:val="-2"/>
        </w:rPr>
        <w:t xml:space="preserve"> </w:t>
      </w:r>
      <w:r>
        <w:t>established.</w:t>
      </w:r>
    </w:p>
    <w:p w14:paraId="51F2A085" w14:textId="77777777" w:rsidR="002E6BA6" w:rsidRDefault="002E6BA6">
      <w:pPr>
        <w:pStyle w:val="BodyText"/>
        <w:spacing w:before="1"/>
      </w:pPr>
    </w:p>
    <w:p w14:paraId="6404DE6A" w14:textId="77777777" w:rsidR="002E6BA6" w:rsidRDefault="004C253F">
      <w:pPr>
        <w:pStyle w:val="BodyText"/>
        <w:ind w:left="120"/>
      </w:pPr>
      <w:r>
        <w:t>As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proofErr w:type="spellStart"/>
      <w:r>
        <w:t>FEmISA’s</w:t>
      </w:r>
      <w:proofErr w:type="spellEnd"/>
      <w:r>
        <w:rPr>
          <w:spacing w:val="19"/>
        </w:rPr>
        <w:t xml:space="preserve"> </w:t>
      </w:r>
      <w:r>
        <w:t>submission,</w:t>
      </w:r>
      <w:r>
        <w:rPr>
          <w:spacing w:val="21"/>
        </w:rPr>
        <w:t xml:space="preserve"> </w:t>
      </w:r>
      <w:r>
        <w:t>fibroids</w:t>
      </w:r>
      <w:r>
        <w:rPr>
          <w:spacing w:val="17"/>
        </w:rPr>
        <w:t xml:space="preserve"> </w:t>
      </w:r>
      <w:r>
        <w:t>cause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large</w:t>
      </w:r>
      <w:r>
        <w:rPr>
          <w:spacing w:val="18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gramStart"/>
      <w:r>
        <w:t>symptoms</w:t>
      </w:r>
      <w:proofErr w:type="gramEnd"/>
      <w:r>
        <w:rPr>
          <w:spacing w:val="1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medicine</w:t>
      </w:r>
      <w:r>
        <w:rPr>
          <w:spacing w:val="-47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symptoms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 year.</w:t>
      </w:r>
    </w:p>
    <w:p w14:paraId="29D56904" w14:textId="77777777" w:rsidR="002E6BA6" w:rsidRDefault="002E6BA6">
      <w:pPr>
        <w:pStyle w:val="BodyText"/>
        <w:spacing w:before="1"/>
      </w:pPr>
    </w:p>
    <w:p w14:paraId="7B2A967E" w14:textId="77777777" w:rsidR="002E6BA6" w:rsidRDefault="004C253F">
      <w:pPr>
        <w:pStyle w:val="BodyText"/>
        <w:ind w:left="120" w:right="600"/>
      </w:pPr>
      <w:r>
        <w:t>There</w:t>
      </w:r>
      <w:r>
        <w:rPr>
          <w:spacing w:val="2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comparative</w:t>
      </w:r>
      <w:r>
        <w:rPr>
          <w:spacing w:val="5"/>
        </w:rPr>
        <w:t xml:space="preserve"> </w:t>
      </w:r>
      <w:r>
        <w:t>studies</w:t>
      </w:r>
      <w:r>
        <w:rPr>
          <w:spacing w:val="6"/>
        </w:rPr>
        <w:t xml:space="preserve"> </w:t>
      </w:r>
      <w:r>
        <w:t>between</w:t>
      </w:r>
      <w:r>
        <w:rPr>
          <w:spacing w:val="4"/>
        </w:rPr>
        <w:t xml:space="preserve"> </w:t>
      </w:r>
      <w:proofErr w:type="spellStart"/>
      <w:r>
        <w:t>Relugolix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GNRH</w:t>
      </w:r>
      <w:r>
        <w:rPr>
          <w:spacing w:val="5"/>
        </w:rPr>
        <w:t xml:space="preserve"> </w:t>
      </w:r>
      <w:r>
        <w:t>agonists,</w:t>
      </w:r>
      <w:r>
        <w:rPr>
          <w:spacing w:val="5"/>
        </w:rPr>
        <w:t xml:space="preserve"> </w:t>
      </w:r>
      <w:r>
        <w:t>even</w:t>
      </w:r>
      <w:r>
        <w:rPr>
          <w:spacing w:val="-47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superiority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that side-effects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fewer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severe.</w:t>
      </w:r>
    </w:p>
    <w:p w14:paraId="2BDC4A06" w14:textId="77777777" w:rsidR="002E6BA6" w:rsidRDefault="002E6BA6">
      <w:pPr>
        <w:sectPr w:rsidR="002E6BA6">
          <w:type w:val="continuous"/>
          <w:pgSz w:w="11910" w:h="16840"/>
          <w:pgMar w:top="420" w:right="1620" w:bottom="280" w:left="1680" w:header="720" w:footer="720" w:gutter="0"/>
          <w:cols w:space="720"/>
        </w:sectPr>
      </w:pPr>
    </w:p>
    <w:p w14:paraId="3D109189" w14:textId="77777777" w:rsidR="002E6BA6" w:rsidRDefault="004C253F">
      <w:pPr>
        <w:pStyle w:val="BodyText"/>
        <w:spacing w:before="41"/>
        <w:ind w:left="120" w:right="173"/>
        <w:jc w:val="both"/>
      </w:pPr>
      <w:r>
        <w:lastRenderedPageBreak/>
        <w:t>GNRH agonists should not be administered to women immediately before UAE/UFE, as the</w:t>
      </w:r>
      <w:r>
        <w:rPr>
          <w:spacing w:val="1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fibroids</w:t>
      </w:r>
      <w:r>
        <w:rPr>
          <w:spacing w:val="-2"/>
        </w:rPr>
        <w:t xml:space="preserve"> </w:t>
      </w:r>
      <w:r>
        <w:t>compromises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outcome.</w:t>
      </w:r>
    </w:p>
    <w:p w14:paraId="3FAC07F1" w14:textId="77777777" w:rsidR="002E6BA6" w:rsidRDefault="002E6BA6">
      <w:pPr>
        <w:pStyle w:val="BodyText"/>
      </w:pPr>
    </w:p>
    <w:p w14:paraId="45B973DB" w14:textId="77777777" w:rsidR="002E6BA6" w:rsidRDefault="002E6BA6">
      <w:pPr>
        <w:pStyle w:val="BodyText"/>
        <w:spacing w:before="11"/>
        <w:rPr>
          <w:sz w:val="21"/>
        </w:rPr>
      </w:pPr>
    </w:p>
    <w:p w14:paraId="769E6116" w14:textId="77777777" w:rsidR="002E6BA6" w:rsidRDefault="004C253F">
      <w:pPr>
        <w:ind w:left="120" w:right="174"/>
        <w:jc w:val="both"/>
      </w:pPr>
      <w:r>
        <w:rPr>
          <w:b/>
        </w:rPr>
        <w:t xml:space="preserve">Safety </w:t>
      </w:r>
      <w:r>
        <w:t>– “</w:t>
      </w:r>
      <w:r>
        <w:rPr>
          <w:i/>
          <w:color w:val="006FC0"/>
        </w:rPr>
        <w:t>can be used long term, which could mean improved and sustained symptom relief”</w:t>
      </w:r>
      <w:r>
        <w:rPr>
          <w:i/>
          <w:color w:val="006FC0"/>
          <w:spacing w:val="1"/>
        </w:rPr>
        <w:t xml:space="preserve"> </w:t>
      </w:r>
      <w:r>
        <w:t xml:space="preserve">The only clinical evidence on </w:t>
      </w:r>
      <w:proofErr w:type="spellStart"/>
      <w:r>
        <w:t>Relugolix</w:t>
      </w:r>
      <w:proofErr w:type="spellEnd"/>
      <w:r>
        <w:t xml:space="preserve"> submitted had a treatment duration of 1 year.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 beyond 12 months has not been established.</w:t>
      </w:r>
      <w:r>
        <w:rPr>
          <w:spacing w:val="1"/>
        </w:rPr>
        <w:t xml:space="preserve"> </w:t>
      </w:r>
      <w:r>
        <w:t>Other GNRH agonists can normally 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for a</w:t>
      </w:r>
      <w:r>
        <w:rPr>
          <w:spacing w:val="-5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34FF829A" w14:textId="77777777" w:rsidR="002E6BA6" w:rsidRDefault="002E6BA6">
      <w:pPr>
        <w:pStyle w:val="BodyText"/>
        <w:spacing w:before="1"/>
      </w:pPr>
    </w:p>
    <w:p w14:paraId="4942204B" w14:textId="77777777" w:rsidR="002E6BA6" w:rsidRDefault="004C253F">
      <w:pPr>
        <w:pStyle w:val="BodyText"/>
        <w:ind w:left="120" w:right="171"/>
        <w:jc w:val="both"/>
      </w:pPr>
      <w:r>
        <w:rPr>
          <w:i/>
          <w:color w:val="006FC0"/>
        </w:rPr>
        <w:t>“</w:t>
      </w:r>
      <w:proofErr w:type="gramStart"/>
      <w:r>
        <w:rPr>
          <w:i/>
          <w:color w:val="006FC0"/>
        </w:rPr>
        <w:t>preserves</w:t>
      </w:r>
      <w:proofErr w:type="gramEnd"/>
      <w:r>
        <w:rPr>
          <w:i/>
          <w:color w:val="006FC0"/>
        </w:rPr>
        <w:t xml:space="preserve"> the uterus and fertility” </w:t>
      </w:r>
      <w:r>
        <w:t>– There was no evidence submitted on the effect of</w:t>
      </w:r>
      <w:r>
        <w:rPr>
          <w:spacing w:val="1"/>
        </w:rPr>
        <w:t xml:space="preserve"> </w:t>
      </w:r>
      <w:proofErr w:type="spellStart"/>
      <w:r>
        <w:t>Relugolix</w:t>
      </w:r>
      <w:proofErr w:type="spellEnd"/>
      <w:r>
        <w:t xml:space="preserve"> on fertility.</w:t>
      </w:r>
      <w:r>
        <w:rPr>
          <w:spacing w:val="1"/>
        </w:rPr>
        <w:t xml:space="preserve"> </w:t>
      </w:r>
      <w:r>
        <w:t>It is unknown. There was also no mention that Afro-Caribbean women</w:t>
      </w:r>
      <w:r>
        <w:rPr>
          <w:spacing w:val="1"/>
        </w:rPr>
        <w:t xml:space="preserve"> </w:t>
      </w:r>
      <w:r>
        <w:t>and other women with darker skins suffer from fibroids much younger than others and will</w:t>
      </w:r>
      <w:r>
        <w:rPr>
          <w:spacing w:val="1"/>
        </w:rPr>
        <w:t xml:space="preserve"> </w:t>
      </w:r>
      <w:r>
        <w:t>require treatment at an early age, sometimes in their 20s and 30s.</w:t>
      </w:r>
      <w:r>
        <w:rPr>
          <w:spacing w:val="1"/>
        </w:rPr>
        <w:t xml:space="preserve"> </w:t>
      </w:r>
      <w:r>
        <w:t xml:space="preserve">The effect of </w:t>
      </w:r>
      <w:proofErr w:type="spellStart"/>
      <w:r>
        <w:t>Relugolix</w:t>
      </w:r>
      <w:proofErr w:type="spellEnd"/>
      <w:r>
        <w:t xml:space="preserve"> on</w:t>
      </w:r>
      <w:r>
        <w:rPr>
          <w:spacing w:val="-47"/>
        </w:rPr>
        <w:t xml:space="preserve"> </w:t>
      </w:r>
      <w:r>
        <w:t>fertility</w:t>
      </w:r>
      <w:r>
        <w:rPr>
          <w:spacing w:val="-2"/>
        </w:rPr>
        <w:t xml:space="preserve"> </w:t>
      </w:r>
      <w:r>
        <w:t>is even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important to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women.</w:t>
      </w:r>
    </w:p>
    <w:p w14:paraId="08DDA8A1" w14:textId="77777777" w:rsidR="002E6BA6" w:rsidRDefault="002E6BA6">
      <w:pPr>
        <w:pStyle w:val="BodyText"/>
      </w:pPr>
    </w:p>
    <w:p w14:paraId="3A9AD1A0" w14:textId="77777777" w:rsidR="002E6BA6" w:rsidRDefault="004C253F">
      <w:pPr>
        <w:pStyle w:val="ListParagraph"/>
        <w:numPr>
          <w:ilvl w:val="1"/>
          <w:numId w:val="1"/>
        </w:numPr>
        <w:tabs>
          <w:tab w:val="left" w:pos="512"/>
        </w:tabs>
        <w:ind w:firstLine="0"/>
        <w:jc w:val="both"/>
      </w:pPr>
      <w:r>
        <w:rPr>
          <w:i/>
          <w:color w:val="006FC0"/>
        </w:rPr>
        <w:t>“Treatment pathway and comparator</w:t>
      </w:r>
      <w:r>
        <w:t>” - The information summary is incorrect.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seek treatment from</w:t>
      </w:r>
      <w:r>
        <w:rPr>
          <w:spacing w:val="1"/>
        </w:rPr>
        <w:t xml:space="preserve"> </w:t>
      </w:r>
      <w:r>
        <w:t>the symptoms of</w:t>
      </w:r>
      <w:r>
        <w:rPr>
          <w:spacing w:val="1"/>
        </w:rPr>
        <w:t xml:space="preserve"> </w:t>
      </w:r>
      <w:proofErr w:type="gramStart"/>
      <w:r>
        <w:t>fibroids</w:t>
      </w:r>
      <w:proofErr w:type="gramEnd"/>
      <w:r>
        <w:t xml:space="preserve"> and they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 a cause of</w:t>
      </w:r>
      <w:r>
        <w:rPr>
          <w:spacing w:val="49"/>
        </w:rPr>
        <w:t xml:space="preserve"> </w:t>
      </w:r>
      <w:r>
        <w:t>infertility.</w:t>
      </w:r>
      <w:r>
        <w:rPr>
          <w:spacing w:val="1"/>
        </w:rPr>
        <w:t xml:space="preserve"> </w:t>
      </w:r>
      <w:r>
        <w:t>The commonest symptom is heavy menstrual bleeding, but there are many other including</w:t>
      </w:r>
      <w:r>
        <w:rPr>
          <w:spacing w:val="1"/>
        </w:rPr>
        <w:t xml:space="preserve"> </w:t>
      </w:r>
      <w:r>
        <w:t>severe pain.</w:t>
      </w:r>
      <w:r>
        <w:rPr>
          <w:spacing w:val="1"/>
        </w:rPr>
        <w:t xml:space="preserve"> </w:t>
      </w:r>
      <w:proofErr w:type="spellStart"/>
      <w:r>
        <w:t>Anaemia</w:t>
      </w:r>
      <w:proofErr w:type="spellEnd"/>
      <w:r>
        <w:t xml:space="preserve"> can be the outcome of poor or inadequate management of heavy</w:t>
      </w:r>
      <w:r>
        <w:rPr>
          <w:spacing w:val="1"/>
        </w:rPr>
        <w:t xml:space="preserve"> </w:t>
      </w:r>
      <w:r>
        <w:t>menstrual</w:t>
      </w:r>
      <w:r>
        <w:rPr>
          <w:spacing w:val="-4"/>
        </w:rPr>
        <w:t xml:space="preserve"> </w:t>
      </w:r>
      <w:r>
        <w:t>bleeding</w:t>
      </w:r>
      <w:r>
        <w:rPr>
          <w:spacing w:val="-1"/>
        </w:rPr>
        <w:t xml:space="preserve"> </w:t>
      </w:r>
      <w:r>
        <w:t>symptoms.</w:t>
      </w:r>
    </w:p>
    <w:p w14:paraId="6068B63F" w14:textId="77777777" w:rsidR="002E6BA6" w:rsidRDefault="002E6BA6">
      <w:pPr>
        <w:pStyle w:val="BodyText"/>
        <w:spacing w:before="1"/>
      </w:pPr>
    </w:p>
    <w:p w14:paraId="2C2487E6" w14:textId="77777777" w:rsidR="002E6BA6" w:rsidRDefault="004C253F">
      <w:pPr>
        <w:pStyle w:val="BodyText"/>
        <w:ind w:left="120" w:right="173"/>
        <w:jc w:val="both"/>
      </w:pPr>
      <w:r>
        <w:t>There are so many factual inaccuracies in this section that they are not all commented upon</w:t>
      </w:r>
      <w:r>
        <w:rPr>
          <w:spacing w:val="1"/>
        </w:rPr>
        <w:t xml:space="preserve"> </w:t>
      </w:r>
      <w:r>
        <w:t>here, but this section needs rewriting.</w:t>
      </w:r>
      <w:r>
        <w:rPr>
          <w:spacing w:val="1"/>
        </w:rPr>
        <w:t xml:space="preserve"> </w:t>
      </w:r>
      <w:r>
        <w:t>It appears that RCOG was not a stakeholder and did</w:t>
      </w:r>
      <w:r>
        <w:rPr>
          <w:spacing w:val="1"/>
        </w:rPr>
        <w:t xml:space="preserve"> </w:t>
      </w:r>
      <w:r>
        <w:t xml:space="preserve">not have a </w:t>
      </w:r>
      <w:proofErr w:type="spellStart"/>
      <w:r>
        <w:t>gynaecologist</w:t>
      </w:r>
      <w:proofErr w:type="spellEnd"/>
      <w:r>
        <w:t xml:space="preserve"> on the committee reviewing the evidence. If this is the </w:t>
      </w:r>
      <w:proofErr w:type="gramStart"/>
      <w:r>
        <w:t>case</w:t>
      </w:r>
      <w:proofErr w:type="gramEnd"/>
      <w:r>
        <w:t xml:space="preserve"> it is a</w:t>
      </w:r>
      <w:r>
        <w:rPr>
          <w:spacing w:val="1"/>
        </w:rPr>
        <w:t xml:space="preserve"> </w:t>
      </w:r>
      <w:r>
        <w:t>serious flaw and is possibly why the information is incorrect.</w:t>
      </w:r>
      <w:r>
        <w:rPr>
          <w:spacing w:val="49"/>
        </w:rPr>
        <w:t xml:space="preserve"> </w:t>
      </w:r>
      <w:r>
        <w:t>RCGP also does not appear to</w:t>
      </w:r>
      <w:r>
        <w:rPr>
          <w:spacing w:val="1"/>
        </w:rPr>
        <w:t xml:space="preserve"> </w:t>
      </w:r>
      <w:r>
        <w:t>be a stakeholder.</w:t>
      </w:r>
    </w:p>
    <w:p w14:paraId="107E4372" w14:textId="77777777" w:rsidR="002E6BA6" w:rsidRDefault="002E6BA6">
      <w:pPr>
        <w:pStyle w:val="BodyText"/>
        <w:spacing w:before="12"/>
        <w:rPr>
          <w:sz w:val="21"/>
        </w:rPr>
      </w:pPr>
    </w:p>
    <w:p w14:paraId="56EE2B6D" w14:textId="77777777" w:rsidR="002E6BA6" w:rsidRDefault="004C253F">
      <w:pPr>
        <w:pStyle w:val="ListParagraph"/>
        <w:numPr>
          <w:ilvl w:val="1"/>
          <w:numId w:val="1"/>
        </w:numPr>
        <w:tabs>
          <w:tab w:val="left" w:pos="510"/>
        </w:tabs>
        <w:ind w:right="174" w:firstLine="0"/>
        <w:jc w:val="both"/>
        <w:rPr>
          <w:color w:val="006FC0"/>
        </w:rPr>
      </w:pPr>
      <w:r>
        <w:rPr>
          <w:i/>
          <w:color w:val="006FC0"/>
        </w:rPr>
        <w:t xml:space="preserve">GnRH agonists are the most relevant comparators for </w:t>
      </w:r>
      <w:proofErr w:type="spellStart"/>
      <w:r>
        <w:rPr>
          <w:i/>
          <w:color w:val="006FC0"/>
        </w:rPr>
        <w:t>relugolix</w:t>
      </w:r>
      <w:proofErr w:type="spellEnd"/>
      <w:r>
        <w:rPr>
          <w:i/>
          <w:color w:val="006FC0"/>
        </w:rPr>
        <w:t>–estradiol–norethisterone</w:t>
      </w:r>
      <w:r>
        <w:rPr>
          <w:i/>
          <w:color w:val="006FC0"/>
          <w:spacing w:val="-47"/>
        </w:rPr>
        <w:t xml:space="preserve"> </w:t>
      </w:r>
      <w:r>
        <w:rPr>
          <w:i/>
          <w:color w:val="006FC0"/>
        </w:rPr>
        <w:t>acetate”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………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“The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ERG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agreed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that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it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was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justifiable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to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exclude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GnRH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antagonists</w:t>
      </w:r>
      <w:r>
        <w:rPr>
          <w:i/>
          <w:color w:val="006FC0"/>
          <w:spacing w:val="1"/>
        </w:rPr>
        <w:t xml:space="preserve"> </w:t>
      </w:r>
      <w:r>
        <w:rPr>
          <w:i/>
          <w:color w:val="006FC0"/>
        </w:rPr>
        <w:t>as</w:t>
      </w:r>
      <w:r>
        <w:rPr>
          <w:i/>
          <w:color w:val="006FC0"/>
          <w:spacing w:val="-47"/>
        </w:rPr>
        <w:t xml:space="preserve"> </w:t>
      </w:r>
      <w:r>
        <w:rPr>
          <w:i/>
          <w:color w:val="006FC0"/>
        </w:rPr>
        <w:t>comparators.”</w:t>
      </w:r>
      <w:r>
        <w:rPr>
          <w:i/>
          <w:color w:val="006FC0"/>
          <w:spacing w:val="49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clear why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ERG agreed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justified.</w:t>
      </w:r>
    </w:p>
    <w:p w14:paraId="0A04EB96" w14:textId="77777777" w:rsidR="002E6BA6" w:rsidRDefault="002E6BA6">
      <w:pPr>
        <w:pStyle w:val="BodyText"/>
        <w:spacing w:before="1"/>
      </w:pPr>
    </w:p>
    <w:p w14:paraId="79CE9E0C" w14:textId="77777777" w:rsidR="002E6BA6" w:rsidRDefault="004C253F">
      <w:pPr>
        <w:pStyle w:val="BodyText"/>
        <w:ind w:left="120" w:right="172"/>
        <w:jc w:val="both"/>
      </w:pPr>
      <w:r>
        <w:t>In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proofErr w:type="spellStart"/>
      <w:r>
        <w:t>FEmISA</w:t>
      </w:r>
      <w:proofErr w:type="spellEnd"/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welcome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controlling fibroid symptoms for longer, while awaiting effective hospital treatment.   The</w:t>
      </w:r>
      <w:r>
        <w:rPr>
          <w:spacing w:val="1"/>
        </w:rPr>
        <w:t xml:space="preserve"> </w:t>
      </w:r>
      <w:r>
        <w:t xml:space="preserve">side effects of GNRH agonists are unacceptable to many women and </w:t>
      </w:r>
      <w:proofErr w:type="spellStart"/>
      <w:r>
        <w:t>gynaecologists</w:t>
      </w:r>
      <w:proofErr w:type="spellEnd"/>
      <w:r>
        <w:t>.   There</w:t>
      </w:r>
      <w:r>
        <w:rPr>
          <w:spacing w:val="1"/>
        </w:rPr>
        <w:t xml:space="preserve"> </w:t>
      </w:r>
      <w:r>
        <w:t xml:space="preserve">is insufficient evidence on efficacy and safety to recommend </w:t>
      </w:r>
      <w:proofErr w:type="spellStart"/>
      <w:r>
        <w:t>Relugolix</w:t>
      </w:r>
      <w:proofErr w:type="spellEnd"/>
      <w:r>
        <w:t xml:space="preserve"> as an effective long-</w:t>
      </w:r>
      <w:r>
        <w:rPr>
          <w:spacing w:val="1"/>
        </w:rPr>
        <w:t xml:space="preserve"> </w:t>
      </w:r>
      <w:r>
        <w:t>term treatment for symptomatic fibroids. Its use needs to be monitored and longer-term</w:t>
      </w:r>
      <w:r>
        <w:rPr>
          <w:spacing w:val="1"/>
        </w:rPr>
        <w:t xml:space="preserve"> </w:t>
      </w:r>
      <w:r>
        <w:t xml:space="preserve">data recorded, </w:t>
      </w:r>
      <w:proofErr w:type="gramStart"/>
      <w:r>
        <w:t>assessed</w:t>
      </w:r>
      <w:proofErr w:type="gramEnd"/>
      <w:r>
        <w:t xml:space="preserve"> and made available to MHRA and NICE before ‘long-term’ use is</w:t>
      </w:r>
      <w:r>
        <w:rPr>
          <w:spacing w:val="1"/>
        </w:rPr>
        <w:t xml:space="preserve"> </w:t>
      </w:r>
      <w:r>
        <w:t>recommended.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short-term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waiting</w:t>
      </w:r>
      <w:r>
        <w:rPr>
          <w:spacing w:val="1"/>
        </w:rPr>
        <w:t xml:space="preserve"> </w:t>
      </w:r>
      <w:r>
        <w:t>lists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gynaecology</w:t>
      </w:r>
      <w:proofErr w:type="spellEnd"/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proofErr w:type="spellStart"/>
      <w:r>
        <w:t>specialities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RCOG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https://rcog.shorthandstories.com/lefttoolong/index.html</w:t>
        </w:r>
      </w:hyperlink>
    </w:p>
    <w:p w14:paraId="06923A48" w14:textId="77777777" w:rsidR="002E6BA6" w:rsidRDefault="002E6BA6">
      <w:pPr>
        <w:pStyle w:val="BodyText"/>
        <w:spacing w:before="5"/>
        <w:rPr>
          <w:sz w:val="17"/>
        </w:rPr>
      </w:pPr>
    </w:p>
    <w:p w14:paraId="32D2A2D1" w14:textId="77777777" w:rsidR="002E6BA6" w:rsidRDefault="004C253F">
      <w:pPr>
        <w:pStyle w:val="BodyText"/>
        <w:spacing w:before="57"/>
        <w:ind w:left="120" w:right="173"/>
        <w:jc w:val="both"/>
      </w:pPr>
      <w:r>
        <w:t>There is a significant danger that CCGs/ICSs will deny women access to proven hospital</w:t>
      </w:r>
      <w:r>
        <w:rPr>
          <w:spacing w:val="1"/>
        </w:rPr>
        <w:t xml:space="preserve"> </w:t>
      </w:r>
      <w:r>
        <w:t xml:space="preserve">treatment for fibroids and demand that women are prescribed </w:t>
      </w:r>
      <w:proofErr w:type="spellStart"/>
      <w:r>
        <w:t>Relugolix</w:t>
      </w:r>
      <w:proofErr w:type="spellEnd"/>
      <w:r>
        <w:t xml:space="preserve"> instead, because 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considerably cheaper.</w:t>
      </w:r>
      <w:r>
        <w:rPr>
          <w:spacing w:val="4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deny</w:t>
      </w:r>
      <w:r>
        <w:rPr>
          <w:spacing w:val="-2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effective treatment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fibroids.</w:t>
      </w:r>
    </w:p>
    <w:p w14:paraId="55BCEA6A" w14:textId="77777777" w:rsidR="002E6BA6" w:rsidRDefault="002E6BA6">
      <w:pPr>
        <w:pStyle w:val="BodyText"/>
        <w:spacing w:before="10"/>
        <w:rPr>
          <w:sz w:val="21"/>
        </w:rPr>
      </w:pPr>
    </w:p>
    <w:p w14:paraId="4B79D114" w14:textId="77777777" w:rsidR="002E6BA6" w:rsidRDefault="004C253F">
      <w:pPr>
        <w:pStyle w:val="BodyText"/>
        <w:ind w:left="120"/>
        <w:jc w:val="both"/>
      </w:pPr>
      <w:r>
        <w:rPr>
          <w:spacing w:val="-3"/>
        </w:rPr>
        <w:t>Yours</w:t>
      </w:r>
      <w:r>
        <w:rPr>
          <w:spacing w:val="-6"/>
        </w:rPr>
        <w:t xml:space="preserve"> </w:t>
      </w:r>
      <w:r>
        <w:rPr>
          <w:spacing w:val="-3"/>
        </w:rPr>
        <w:t>sincerely,</w:t>
      </w:r>
    </w:p>
    <w:p w14:paraId="1B56CDAD" w14:textId="77777777" w:rsidR="002E6BA6" w:rsidRDefault="002E6BA6">
      <w:pPr>
        <w:pStyle w:val="BodyText"/>
        <w:spacing w:before="10"/>
        <w:rPr>
          <w:sz w:val="19"/>
        </w:rPr>
      </w:pPr>
    </w:p>
    <w:p w14:paraId="6C1D1E6B" w14:textId="5B732AFF" w:rsidR="002E6BA6" w:rsidRPr="00327C83" w:rsidRDefault="00327C83">
      <w:pPr>
        <w:spacing w:before="1"/>
        <w:ind w:left="120"/>
        <w:jc w:val="both"/>
        <w:rPr>
          <w:rFonts w:ascii="Times New Roman"/>
          <w:i/>
          <w:sz w:val="32"/>
        </w:rPr>
      </w:pPr>
      <w:proofErr w:type="spellStart"/>
      <w:r w:rsidRPr="00327C83">
        <w:rPr>
          <w:rFonts w:ascii="Times New Roman"/>
          <w:i/>
          <w:spacing w:val="-2"/>
          <w:w w:val="101"/>
          <w:sz w:val="32"/>
          <w:highlight w:val="black"/>
        </w:rPr>
        <w:t>xxxxxxxxx</w:t>
      </w:r>
      <w:proofErr w:type="spellEnd"/>
    </w:p>
    <w:p w14:paraId="3424CE08" w14:textId="6A277B32" w:rsidR="002E6BA6" w:rsidRDefault="00327C83">
      <w:pPr>
        <w:pStyle w:val="BodyText"/>
        <w:spacing w:before="304"/>
        <w:ind w:left="120" w:right="2129"/>
      </w:pPr>
      <w:r w:rsidRPr="00327C83">
        <w:rPr>
          <w:spacing w:val="-3"/>
          <w:highlight w:val="black"/>
        </w:rPr>
        <w:t>xxxxxxxxxxxxxxxxxxxxxxxxxxxxxxxxxxxxxxxxxxxxxxxxxxxxxxxxxxxxxxxxxxx</w:t>
      </w:r>
      <w:r w:rsidR="004C253F">
        <w:rPr>
          <w:spacing w:val="-47"/>
        </w:rPr>
        <w:t xml:space="preserve"> </w:t>
      </w:r>
      <w:r w:rsidR="004C253F">
        <w:t>For</w:t>
      </w:r>
      <w:r w:rsidR="004C253F">
        <w:rPr>
          <w:spacing w:val="-8"/>
        </w:rPr>
        <w:t xml:space="preserve"> </w:t>
      </w:r>
      <w:proofErr w:type="spellStart"/>
      <w:r w:rsidR="004C253F">
        <w:t>FEmISA</w:t>
      </w:r>
      <w:proofErr w:type="spellEnd"/>
    </w:p>
    <w:sectPr w:rsidR="002E6BA6">
      <w:pgSz w:w="11910" w:h="16840"/>
      <w:pgMar w:top="13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B53"/>
    <w:multiLevelType w:val="multilevel"/>
    <w:tmpl w:val="37B0CC10"/>
    <w:lvl w:ilvl="0">
      <w:start w:val="3"/>
      <w:numFmt w:val="decimal"/>
      <w:lvlText w:val="%1"/>
      <w:lvlJc w:val="left"/>
      <w:pPr>
        <w:ind w:left="120" w:hanging="39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0" w:hanging="392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17" w:hanging="3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5" w:hanging="3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14" w:hanging="3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3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1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0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09" w:hanging="392"/>
      </w:pPr>
      <w:rPr>
        <w:rFonts w:hint="default"/>
        <w:lang w:val="en-US" w:eastAsia="en-US" w:bidi="ar-SA"/>
      </w:rPr>
    </w:lvl>
  </w:abstractNum>
  <w:num w:numId="1" w16cid:durableId="888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BA6"/>
    <w:rsid w:val="001A6F6D"/>
    <w:rsid w:val="002E6BA6"/>
    <w:rsid w:val="00327C83"/>
    <w:rsid w:val="004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D7E4"/>
  <w15:docId w15:val="{720574A2-F203-4B36-A316-7BED732C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" w:right="1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g.shorthandstories.com/lefttoolo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emis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misa.org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 Camps-Walsh</dc:creator>
  <cp:lastModifiedBy>Emma Gordon</cp:lastModifiedBy>
  <cp:revision>4</cp:revision>
  <dcterms:created xsi:type="dcterms:W3CDTF">2022-08-16T12:43:00Z</dcterms:created>
  <dcterms:modified xsi:type="dcterms:W3CDTF">2022-08-23T10:57:00Z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