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BA84" w14:textId="3D0713ED" w:rsidR="008C1624" w:rsidRPr="00A4265E" w:rsidRDefault="0098593F" w:rsidP="00B42048">
      <w:pPr>
        <w:pStyle w:val="Title"/>
      </w:pPr>
      <w:r>
        <w:t>R</w:t>
      </w:r>
      <w:r w:rsidR="00016F2C" w:rsidRPr="00A4265E">
        <w:t xml:space="preserve">eview </w:t>
      </w:r>
      <w:r w:rsidR="00660A02">
        <w:t>decision</w:t>
      </w:r>
      <w:r w:rsidR="00660A02" w:rsidRPr="00A4265E">
        <w:t xml:space="preserve"> </w:t>
      </w:r>
      <w:r w:rsidR="008C1624" w:rsidRPr="00A4265E">
        <w:t xml:space="preserve">of </w:t>
      </w:r>
      <w:r w:rsidR="00CC21A7">
        <w:t xml:space="preserve">NICE’s technology appraisal guidance on </w:t>
      </w:r>
      <w:r w:rsidR="00B701CE">
        <w:t>e</w:t>
      </w:r>
      <w:r w:rsidR="006D1E4A">
        <w:t xml:space="preserve">sketamine </w:t>
      </w:r>
      <w:r w:rsidR="002E4571">
        <w:t xml:space="preserve">nasal spray </w:t>
      </w:r>
      <w:r w:rsidR="006D1E4A">
        <w:t>for treatment-resistant depression</w:t>
      </w:r>
    </w:p>
    <w:p w14:paraId="5CF061DF" w14:textId="77767BC4" w:rsidR="008C1624" w:rsidRPr="00A4265E" w:rsidRDefault="00727484" w:rsidP="00B42048">
      <w:pPr>
        <w:pStyle w:val="NICEnormal"/>
      </w:pPr>
      <w:r>
        <w:t>NICE’s technology appraisal</w:t>
      </w:r>
      <w:r w:rsidR="00ED2B2F">
        <w:t xml:space="preserve"> guidance</w:t>
      </w:r>
      <w:r>
        <w:t xml:space="preserve"> on e</w:t>
      </w:r>
      <w:r w:rsidR="00995168">
        <w:t xml:space="preserve">sketamine </w:t>
      </w:r>
      <w:r w:rsidR="002E4571">
        <w:t xml:space="preserve">nasal spray </w:t>
      </w:r>
      <w:r w:rsidR="00995168">
        <w:t xml:space="preserve">for treatment-resistant depression </w:t>
      </w:r>
      <w:r w:rsidR="002E4571">
        <w:t>(</w:t>
      </w:r>
      <w:r w:rsidR="006D1E4A">
        <w:t>TA854</w:t>
      </w:r>
      <w:r w:rsidR="002E4571">
        <w:t>)</w:t>
      </w:r>
      <w:r w:rsidR="008C1624">
        <w:t xml:space="preserve"> </w:t>
      </w:r>
      <w:r w:rsidR="00995168">
        <w:t xml:space="preserve">was </w:t>
      </w:r>
      <w:r w:rsidR="008C1624">
        <w:t xml:space="preserve">published in </w:t>
      </w:r>
      <w:r w:rsidR="006D1E4A">
        <w:t>December</w:t>
      </w:r>
      <w:r w:rsidR="002E4571">
        <w:t> </w:t>
      </w:r>
      <w:r w:rsidR="006D1E4A">
        <w:t>2022.</w:t>
      </w:r>
    </w:p>
    <w:p w14:paraId="0CE79509" w14:textId="2E6E3B0E" w:rsidR="008C1624" w:rsidRPr="00A4265E" w:rsidRDefault="008C1624" w:rsidP="00B42048">
      <w:pPr>
        <w:pStyle w:val="Heading1"/>
      </w:pPr>
      <w:r w:rsidRPr="00A4265E">
        <w:t>Decision</w:t>
      </w:r>
    </w:p>
    <w:p w14:paraId="3F47CE15" w14:textId="57FF2335" w:rsidR="00896463" w:rsidRDefault="00896463" w:rsidP="00727484">
      <w:pPr>
        <w:pStyle w:val="NICEnormal"/>
      </w:pPr>
      <w:r>
        <w:t xml:space="preserve">The evidence received </w:t>
      </w:r>
      <w:r w:rsidR="00CC21A7">
        <w:t xml:space="preserve">did </w:t>
      </w:r>
      <w:r>
        <w:t xml:space="preserve">not </w:t>
      </w:r>
      <w:r w:rsidR="00CC21A7">
        <w:t>support the need for</w:t>
      </w:r>
      <w:r>
        <w:t xml:space="preserve"> an update of the existing recommendations.</w:t>
      </w:r>
    </w:p>
    <w:p w14:paraId="3E8B3B55" w14:textId="67CD05F4" w:rsidR="0098211D" w:rsidRPr="00A4265E" w:rsidRDefault="00CC21A7" w:rsidP="00727484">
      <w:pPr>
        <w:pStyle w:val="NICEnormal"/>
      </w:pPr>
      <w:r>
        <w:t>So, t</w:t>
      </w:r>
      <w:r w:rsidR="00896463">
        <w:t xml:space="preserve">he guidance will remain unchanged unless or until NICE becomes aware of </w:t>
      </w:r>
      <w:r>
        <w:t xml:space="preserve">new </w:t>
      </w:r>
      <w:r w:rsidR="00896463">
        <w:t>substantive information</w:t>
      </w:r>
      <w:r w:rsidR="00343066">
        <w:t xml:space="preserve"> </w:t>
      </w:r>
      <w:r>
        <w:t>to support reconsideration</w:t>
      </w:r>
      <w:r w:rsidR="00896463">
        <w:t>.</w:t>
      </w:r>
      <w:r w:rsidR="00DA2CBB">
        <w:t xml:space="preserve"> </w:t>
      </w:r>
      <w:r w:rsidR="0098211D">
        <w:t xml:space="preserve">NICE will continue to monitor this topic for further evidence. </w:t>
      </w:r>
      <w:r>
        <w:t>It</w:t>
      </w:r>
      <w:r w:rsidR="00727484">
        <w:t xml:space="preserve"> may also reconsider this decision i</w:t>
      </w:r>
      <w:r w:rsidR="0098211D">
        <w:t>f there are significant changes in the treatment pathway</w:t>
      </w:r>
      <w:r w:rsidR="00606827">
        <w:t xml:space="preserve"> in the future (such as new treatments in the pathway).</w:t>
      </w:r>
    </w:p>
    <w:p w14:paraId="4C87570C" w14:textId="77777777" w:rsidR="008C1624" w:rsidRPr="00A4265E" w:rsidRDefault="008C1624" w:rsidP="00B42048">
      <w:pPr>
        <w:pStyle w:val="Heading1"/>
      </w:pPr>
      <w:r w:rsidRPr="00A4265E">
        <w:t>Rationale</w:t>
      </w:r>
    </w:p>
    <w:p w14:paraId="7F2348C3" w14:textId="5B0F7663" w:rsidR="008C1624" w:rsidRDefault="00896463" w:rsidP="00727484">
      <w:pPr>
        <w:pStyle w:val="NICEnormal"/>
      </w:pPr>
      <w:r>
        <w:t xml:space="preserve">The </w:t>
      </w:r>
      <w:r w:rsidR="00480103">
        <w:t xml:space="preserve">initial review proposal was that an update was not </w:t>
      </w:r>
      <w:r w:rsidR="00CC21A7">
        <w:t xml:space="preserve">needed </w:t>
      </w:r>
      <w:r w:rsidR="00480103">
        <w:t xml:space="preserve">because the </w:t>
      </w:r>
      <w:r>
        <w:t xml:space="preserve">new evidence </w:t>
      </w:r>
      <w:r w:rsidR="00CC21A7">
        <w:t>did not show a greater</w:t>
      </w:r>
      <w:r>
        <w:t xml:space="preserve"> relative benefit</w:t>
      </w:r>
      <w:r w:rsidR="00CE67A5">
        <w:t xml:space="preserve"> compared </w:t>
      </w:r>
      <w:r w:rsidR="00CC21A7">
        <w:t xml:space="preserve">with </w:t>
      </w:r>
      <w:r w:rsidR="00CE67A5">
        <w:t xml:space="preserve">current treatments </w:t>
      </w:r>
      <w:r w:rsidR="00CC21A7">
        <w:t xml:space="preserve">than </w:t>
      </w:r>
      <w:r w:rsidR="00CE67A5">
        <w:t xml:space="preserve">that </w:t>
      </w:r>
      <w:r>
        <w:t>considered in TA854</w:t>
      </w:r>
      <w:r w:rsidR="004C1C70">
        <w:t xml:space="preserve">. </w:t>
      </w:r>
      <w:r w:rsidR="00480103">
        <w:t>This proposal was consulted on with stakeholders.</w:t>
      </w:r>
    </w:p>
    <w:p w14:paraId="4466FC01" w14:textId="044A9FF1" w:rsidR="0056350F" w:rsidRDefault="00DA2CBB" w:rsidP="00727484">
      <w:pPr>
        <w:pStyle w:val="NICEnormal"/>
      </w:pPr>
      <w:bookmarkStart w:id="0" w:name="_Hlk168045892"/>
      <w:r>
        <w:t xml:space="preserve">At consultation, stakeholders </w:t>
      </w:r>
      <w:r w:rsidR="0056350F">
        <w:t xml:space="preserve">thought </w:t>
      </w:r>
      <w:r w:rsidR="002E4571">
        <w:t xml:space="preserve">that </w:t>
      </w:r>
      <w:r w:rsidR="00472A51">
        <w:t>the new evidence</w:t>
      </w:r>
      <w:r w:rsidR="00480103">
        <w:t xml:space="preserve"> from ESCAPE</w:t>
      </w:r>
      <w:r w:rsidR="002E4571">
        <w:noBreakHyphen/>
      </w:r>
      <w:r w:rsidR="00480103">
        <w:t>TRD</w:t>
      </w:r>
      <w:r w:rsidR="0056350F">
        <w:t>:</w:t>
      </w:r>
    </w:p>
    <w:p w14:paraId="39FD066D" w14:textId="52031FA1" w:rsidR="0056350F" w:rsidRDefault="00480103" w:rsidP="0056350F">
      <w:pPr>
        <w:pStyle w:val="Bulletleft1"/>
      </w:pPr>
      <w:r>
        <w:t xml:space="preserve">provided additional certainty </w:t>
      </w:r>
      <w:r w:rsidR="0056350F">
        <w:t xml:space="preserve">compared with </w:t>
      </w:r>
      <w:r>
        <w:t>a more relevant comparator for augmentation therapy that would be used in clinical practice</w:t>
      </w:r>
    </w:p>
    <w:p w14:paraId="4A42E7C1" w14:textId="470EDBCB" w:rsidR="0056350F" w:rsidRDefault="00480103" w:rsidP="009D315D">
      <w:pPr>
        <w:pStyle w:val="Bulletleft1last"/>
      </w:pPr>
      <w:r>
        <w:t>resolv</w:t>
      </w:r>
      <w:r w:rsidR="0056350F">
        <w:t>ed</w:t>
      </w:r>
      <w:r>
        <w:t xml:space="preserve"> other clinical uncertainties such as the trial length.</w:t>
      </w:r>
    </w:p>
    <w:p w14:paraId="0B1BF2E1" w14:textId="52D726BC" w:rsidR="00F9495F" w:rsidRDefault="00480103" w:rsidP="0056350F">
      <w:pPr>
        <w:pStyle w:val="NICEnormal"/>
      </w:pPr>
      <w:r>
        <w:t>NICE acknowledge</w:t>
      </w:r>
      <w:r w:rsidR="002E4571">
        <w:t>s</w:t>
      </w:r>
      <w:r>
        <w:t xml:space="preserve"> </w:t>
      </w:r>
      <w:r w:rsidR="002E4571">
        <w:t xml:space="preserve">that </w:t>
      </w:r>
      <w:r>
        <w:t>aspects of ESCAPE</w:t>
      </w:r>
      <w:r w:rsidR="002E4571">
        <w:noBreakHyphen/>
      </w:r>
      <w:r>
        <w:t>TRD reduce structural uncertainty by providing a more appropriate comparison of relative effect</w:t>
      </w:r>
      <w:r w:rsidR="0056350F">
        <w:t>. But</w:t>
      </w:r>
      <w:r>
        <w:t xml:space="preserve">, the analysis presented to committee in TA854 </w:t>
      </w:r>
      <w:r w:rsidR="00C916A7">
        <w:t xml:space="preserve">had </w:t>
      </w:r>
      <w:r>
        <w:t xml:space="preserve">already included parameters for relative effect with a </w:t>
      </w:r>
      <w:r w:rsidR="00B60BAD">
        <w:t>greater</w:t>
      </w:r>
      <w:r>
        <w:t xml:space="preserve"> benefit than in the updated evidence. </w:t>
      </w:r>
      <w:r w:rsidR="0056350F">
        <w:t>So</w:t>
      </w:r>
      <w:r>
        <w:t xml:space="preserve">, the committee </w:t>
      </w:r>
      <w:r w:rsidR="00C916A7">
        <w:t xml:space="preserve">had </w:t>
      </w:r>
      <w:r>
        <w:t>already considered scenarios includ</w:t>
      </w:r>
      <w:r w:rsidR="0056350F">
        <w:t>ing</w:t>
      </w:r>
      <w:r>
        <w:t xml:space="preserve"> parameter values that showed greater benefit than </w:t>
      </w:r>
      <w:r>
        <w:lastRenderedPageBreak/>
        <w:t xml:space="preserve">the new evidence. </w:t>
      </w:r>
      <w:r w:rsidR="0056350F">
        <w:t>So, n</w:t>
      </w:r>
      <w:r>
        <w:t xml:space="preserve">ew analysis and economic modelling is not </w:t>
      </w:r>
      <w:r w:rsidR="00CA7EB5">
        <w:t xml:space="preserve">needed </w:t>
      </w:r>
      <w:r>
        <w:t>to establish how this evidence would affect decision</w:t>
      </w:r>
      <w:r w:rsidR="00727484">
        <w:t xml:space="preserve"> </w:t>
      </w:r>
      <w:r>
        <w:t>making</w:t>
      </w:r>
      <w:r w:rsidR="0056350F">
        <w:t>. This is</w:t>
      </w:r>
      <w:r>
        <w:t xml:space="preserve"> because the uncertainty</w:t>
      </w:r>
      <w:r w:rsidR="0056350F">
        <w:t xml:space="preserve"> resolved by</w:t>
      </w:r>
      <w:r>
        <w:t xml:space="preserve"> the new evidence was not incorporated in the parameters underlying the cost-effectiveness calculations and associated uncertainty analysis in TA854.</w:t>
      </w:r>
    </w:p>
    <w:bookmarkEnd w:id="0"/>
    <w:p w14:paraId="62FA151D" w14:textId="367809DB" w:rsidR="00DA2CBB" w:rsidRDefault="000D01EF" w:rsidP="00727484">
      <w:pPr>
        <w:pStyle w:val="NICEnormal"/>
      </w:pPr>
      <w:r w:rsidRPr="00043BE9">
        <w:t xml:space="preserve">At consultation, stakeholders </w:t>
      </w:r>
      <w:r w:rsidR="0056350F">
        <w:t>noted</w:t>
      </w:r>
      <w:r w:rsidRPr="00043BE9">
        <w:t xml:space="preserve"> that there is disparity in access to medicines </w:t>
      </w:r>
      <w:r w:rsidR="00727484">
        <w:t>for</w:t>
      </w:r>
      <w:r w:rsidR="00727484" w:rsidRPr="00043BE9">
        <w:t xml:space="preserve"> </w:t>
      </w:r>
      <w:r w:rsidRPr="00043BE9">
        <w:t xml:space="preserve">mental health and </w:t>
      </w:r>
      <w:r w:rsidR="0056350F">
        <w:t xml:space="preserve">to </w:t>
      </w:r>
      <w:r w:rsidR="00727484">
        <w:t xml:space="preserve">medicines for </w:t>
      </w:r>
      <w:r w:rsidRPr="00043BE9">
        <w:t>physical conditions</w:t>
      </w:r>
      <w:r w:rsidR="00727484">
        <w:t>,</w:t>
      </w:r>
      <w:r w:rsidRPr="00043BE9">
        <w:t xml:space="preserve"> </w:t>
      </w:r>
      <w:r w:rsidR="0056350F">
        <w:t>which</w:t>
      </w:r>
      <w:r w:rsidRPr="00043BE9">
        <w:t xml:space="preserve"> may be </w:t>
      </w:r>
      <w:r w:rsidR="0056350F">
        <w:t>partly</w:t>
      </w:r>
      <w:r w:rsidRPr="00043BE9">
        <w:t xml:space="preserve"> because of difficulties </w:t>
      </w:r>
      <w:r w:rsidR="00727484">
        <w:t xml:space="preserve">in </w:t>
      </w:r>
      <w:r w:rsidRPr="00043BE9">
        <w:t>evidence generation in mental health. The committee recognised the difficult</w:t>
      </w:r>
      <w:r w:rsidR="0056350F">
        <w:t>ies in</w:t>
      </w:r>
      <w:r w:rsidRPr="00043BE9">
        <w:t xml:space="preserve"> designing, recruiting and interpreting results from clinical trials </w:t>
      </w:r>
      <w:r w:rsidR="0056350F">
        <w:t>for</w:t>
      </w:r>
      <w:r w:rsidR="0056350F" w:rsidRPr="00043BE9">
        <w:t xml:space="preserve"> </w:t>
      </w:r>
      <w:r w:rsidR="0056350F">
        <w:t>mental health conditions. It</w:t>
      </w:r>
      <w:r w:rsidRPr="00043BE9">
        <w:t xml:space="preserve"> took this into account </w:t>
      </w:r>
      <w:r w:rsidR="0056350F">
        <w:t>in</w:t>
      </w:r>
      <w:r w:rsidR="0056350F" w:rsidRPr="00043BE9">
        <w:t xml:space="preserve"> </w:t>
      </w:r>
      <w:r w:rsidRPr="00043BE9">
        <w:t>its</w:t>
      </w:r>
      <w:r w:rsidR="00727484">
        <w:t xml:space="preserve"> </w:t>
      </w:r>
      <w:r>
        <w:t>decision making in</w:t>
      </w:r>
      <w:r w:rsidRPr="000D01EF">
        <w:t xml:space="preserve"> TA854</w:t>
      </w:r>
      <w:r>
        <w:t>.</w:t>
      </w:r>
    </w:p>
    <w:p w14:paraId="048A8239" w14:textId="4C77A836" w:rsidR="000D01EF" w:rsidRDefault="00480103" w:rsidP="00727484">
      <w:pPr>
        <w:pStyle w:val="NICEnormal"/>
      </w:pPr>
      <w:r>
        <w:t>At consultation, stakeholders also raised further</w:t>
      </w:r>
      <w:r w:rsidR="00D32BA2">
        <w:t xml:space="preserve"> points to consider since the original appraisal of TA854, including evidence </w:t>
      </w:r>
      <w:r w:rsidR="0060123D">
        <w:t>from</w:t>
      </w:r>
      <w:r w:rsidR="00D32BA2">
        <w:t xml:space="preserve"> other data sources and decisions made by </w:t>
      </w:r>
      <w:r w:rsidR="001457E4">
        <w:t>regulatory bodies</w:t>
      </w:r>
      <w:r w:rsidR="00D32BA2">
        <w:t xml:space="preserve">. Responses to these are available </w:t>
      </w:r>
      <w:r w:rsidR="001457E4">
        <w:t xml:space="preserve">in the </w:t>
      </w:r>
      <w:hyperlink r:id="rId8" w:history="1">
        <w:r w:rsidR="001457E4" w:rsidRPr="009D315D">
          <w:rPr>
            <w:rStyle w:val="Hyperlink"/>
          </w:rPr>
          <w:t>consultation response form</w:t>
        </w:r>
      </w:hyperlink>
      <w:r w:rsidR="001457E4">
        <w:t>.</w:t>
      </w:r>
    </w:p>
    <w:p w14:paraId="382D7CF4" w14:textId="5C8064A6" w:rsidR="00896463" w:rsidRPr="00A4265E" w:rsidRDefault="00480103" w:rsidP="00727484">
      <w:pPr>
        <w:pStyle w:val="NICEnormal"/>
      </w:pPr>
      <w:r>
        <w:t xml:space="preserve">In conclusion, the new clinical evidence supports the current </w:t>
      </w:r>
      <w:r w:rsidR="00E53424">
        <w:t>r</w:t>
      </w:r>
      <w:r>
        <w:t>ecommendation</w:t>
      </w:r>
      <w:r w:rsidR="0056350F">
        <w:t xml:space="preserve"> in TA854</w:t>
      </w:r>
      <w:r w:rsidR="00A043B8">
        <w:t>.</w:t>
      </w:r>
      <w:r>
        <w:t xml:space="preserve"> New analysis </w:t>
      </w:r>
      <w:r w:rsidR="0060123D">
        <w:t>is</w:t>
      </w:r>
      <w:r>
        <w:t xml:space="preserve"> unlikely to result in a change to the recommendation</w:t>
      </w:r>
      <w:r w:rsidR="00A043B8">
        <w:t xml:space="preserve"> at this time</w:t>
      </w:r>
      <w:r>
        <w:t>.</w:t>
      </w:r>
      <w:r w:rsidR="00A043B8">
        <w:t xml:space="preserve"> </w:t>
      </w:r>
      <w:bookmarkStart w:id="1" w:name="_Hlk168046532"/>
      <w:r>
        <w:t xml:space="preserve">In addition, </w:t>
      </w:r>
      <w:r w:rsidR="00A043B8">
        <w:t>t</w:t>
      </w:r>
      <w:r w:rsidR="00896463">
        <w:t xml:space="preserve">here have been no changes to the marketing authorisation that would suggest </w:t>
      </w:r>
      <w:r w:rsidR="00A043B8">
        <w:t xml:space="preserve">the need for a </w:t>
      </w:r>
      <w:r w:rsidR="00896463">
        <w:t>further review</w:t>
      </w:r>
      <w:r w:rsidR="00472F6E">
        <w:t>,</w:t>
      </w:r>
      <w:r w:rsidR="00F66FC8">
        <w:t xml:space="preserve"> in line with NICE process.</w:t>
      </w:r>
    </w:p>
    <w:bookmarkEnd w:id="1"/>
    <w:p w14:paraId="07AB6624" w14:textId="77777777" w:rsidR="008C1624" w:rsidRPr="00A4265E" w:rsidRDefault="008C1624" w:rsidP="009D6163">
      <w:pPr>
        <w:pStyle w:val="Heading1"/>
      </w:pPr>
      <w:r w:rsidRPr="00A4265E">
        <w:t>Summary of new evidence and implications for review</w:t>
      </w:r>
    </w:p>
    <w:p w14:paraId="557A2BF3" w14:textId="46A5B409" w:rsidR="008C1624" w:rsidRPr="009D6163" w:rsidRDefault="008C1624" w:rsidP="009D6163">
      <w:pPr>
        <w:pStyle w:val="Heading2"/>
      </w:pPr>
      <w:r w:rsidRPr="009D6163">
        <w:t>Has there been any change to the price of the technology since the guidance was published?</w:t>
      </w:r>
    </w:p>
    <w:p w14:paraId="4AF4DDF2" w14:textId="5DF8A977" w:rsidR="008C1624" w:rsidRPr="00A4265E" w:rsidRDefault="00D42DDC" w:rsidP="00727484">
      <w:pPr>
        <w:pStyle w:val="NICEnormal"/>
      </w:pPr>
      <w:r>
        <w:t xml:space="preserve">The company had a </w:t>
      </w:r>
      <w:r w:rsidR="00D05336">
        <w:t>confidential discount through a patient access scheme</w:t>
      </w:r>
      <w:r>
        <w:t>, which would have applied if the technology had been recommended</w:t>
      </w:r>
      <w:r w:rsidR="00D05336">
        <w:t>. This</w:t>
      </w:r>
      <w:r>
        <w:t xml:space="preserve"> has since been withdrawn</w:t>
      </w:r>
      <w:r w:rsidR="00170937">
        <w:t>, as per the NICE process</w:t>
      </w:r>
      <w:r>
        <w:t>. There have been no changes to the list price</w:t>
      </w:r>
      <w:r w:rsidR="0056350F">
        <w:t xml:space="preserve"> of esketamine nasal spray</w:t>
      </w:r>
      <w:r w:rsidR="009F223B">
        <w:t>.</w:t>
      </w:r>
      <w:r w:rsidR="7E4B68D2">
        <w:t xml:space="preserve"> If the technology had been reappraised, new commercial arrangements could have been considered.</w:t>
      </w:r>
    </w:p>
    <w:p w14:paraId="2EF3707F" w14:textId="77777777" w:rsidR="008C1624" w:rsidRPr="00A4265E" w:rsidRDefault="008C1624" w:rsidP="008C1624">
      <w:pPr>
        <w:pStyle w:val="Heading2"/>
      </w:pPr>
      <w:r w:rsidRPr="00A4265E">
        <w:lastRenderedPageBreak/>
        <w:t>Are there any existing or proposed changes to the marketing authorisation that would affect the existing guidance?</w:t>
      </w:r>
    </w:p>
    <w:p w14:paraId="4C2F7AF9" w14:textId="278A1F29" w:rsidR="008C1624" w:rsidRPr="00A4265E" w:rsidRDefault="00D42DDC" w:rsidP="00727484">
      <w:pPr>
        <w:pStyle w:val="NICEnormal"/>
      </w:pPr>
      <w:r>
        <w:t>There have been no change</w:t>
      </w:r>
      <w:r w:rsidR="00896463">
        <w:t>s</w:t>
      </w:r>
      <w:r>
        <w:t xml:space="preserve"> to the marketing authorisation</w:t>
      </w:r>
      <w:r w:rsidR="008D4B3C">
        <w:t xml:space="preserve"> for </w:t>
      </w:r>
      <w:r w:rsidR="00343066">
        <w:t xml:space="preserve">the technology </w:t>
      </w:r>
      <w:r w:rsidR="00C916A7">
        <w:t>for</w:t>
      </w:r>
      <w:r w:rsidR="00343066">
        <w:t xml:space="preserve"> </w:t>
      </w:r>
      <w:r w:rsidR="008D4B3C">
        <w:t>this indication</w:t>
      </w:r>
      <w:r>
        <w:t>.</w:t>
      </w:r>
    </w:p>
    <w:p w14:paraId="548D7D32" w14:textId="77777777" w:rsidR="008C1624" w:rsidRPr="00A4265E" w:rsidRDefault="008C1624" w:rsidP="008C1624">
      <w:pPr>
        <w:pStyle w:val="Heading2"/>
      </w:pPr>
      <w:r w:rsidRPr="00A4265E">
        <w:t>Were any uncertainties identified in the original guidance? Is there any new evidence that might address this?</w:t>
      </w:r>
    </w:p>
    <w:p w14:paraId="35D4513D" w14:textId="78DA3511" w:rsidR="0056350F" w:rsidRDefault="00DA5A91" w:rsidP="00727484">
      <w:pPr>
        <w:pStyle w:val="NICEnormal"/>
      </w:pPr>
      <w:r>
        <w:t>There was substantial uncertainty in the original guidance</w:t>
      </w:r>
      <w:r w:rsidR="003C0811">
        <w:t xml:space="preserve"> (</w:t>
      </w:r>
      <w:r w:rsidR="00896EBF">
        <w:t>TA854</w:t>
      </w:r>
      <w:r w:rsidR="003C0811">
        <w:t>)</w:t>
      </w:r>
      <w:r>
        <w:t xml:space="preserve"> about</w:t>
      </w:r>
      <w:r w:rsidR="0056350F">
        <w:t>:</w:t>
      </w:r>
    </w:p>
    <w:p w14:paraId="36FB1108" w14:textId="6632D0D3" w:rsidR="0056350F" w:rsidRDefault="00DA5A91" w:rsidP="0056350F">
      <w:pPr>
        <w:pStyle w:val="Bulletleft1"/>
      </w:pPr>
      <w:r>
        <w:t xml:space="preserve">treatment </w:t>
      </w:r>
      <w:r w:rsidR="001457E4">
        <w:t xml:space="preserve">positioning </w:t>
      </w:r>
      <w:r>
        <w:t>and clinical pathway</w:t>
      </w:r>
    </w:p>
    <w:p w14:paraId="0EA2684B" w14:textId="46820E09" w:rsidR="0056350F" w:rsidRDefault="00DA5A91" w:rsidP="0056350F">
      <w:pPr>
        <w:pStyle w:val="Bulletleft1"/>
      </w:pPr>
      <w:r>
        <w:t>choice of comparator treatments</w:t>
      </w:r>
    </w:p>
    <w:p w14:paraId="0E99CF14" w14:textId="066151E1" w:rsidR="0056350F" w:rsidRDefault="00143651" w:rsidP="0056350F">
      <w:pPr>
        <w:pStyle w:val="Bulletleft1"/>
      </w:pPr>
      <w:r>
        <w:t>internal and external</w:t>
      </w:r>
      <w:r w:rsidR="00615882">
        <w:t xml:space="preserve"> validity</w:t>
      </w:r>
      <w:r w:rsidR="00DA5A91">
        <w:t xml:space="preserve"> of the clinical evidence</w:t>
      </w:r>
    </w:p>
    <w:p w14:paraId="0C812D94" w14:textId="5E8ED9B6" w:rsidR="0056350F" w:rsidRDefault="00DA5A91" w:rsidP="0056350F">
      <w:pPr>
        <w:pStyle w:val="Bulletleft1"/>
      </w:pPr>
      <w:r>
        <w:t>long-term effects of treatment</w:t>
      </w:r>
    </w:p>
    <w:p w14:paraId="0C17C646" w14:textId="532DB0BB" w:rsidR="0056350F" w:rsidRDefault="00DA5A91" w:rsidP="0056350F">
      <w:pPr>
        <w:pStyle w:val="Bulletleft1"/>
      </w:pPr>
      <w:r>
        <w:t xml:space="preserve">natural history of the </w:t>
      </w:r>
      <w:r w:rsidR="002B00F9">
        <w:t>condition</w:t>
      </w:r>
    </w:p>
    <w:p w14:paraId="5C1C91AB" w14:textId="1AE1C7FC" w:rsidR="0056350F" w:rsidRDefault="00DA5A91" w:rsidP="0056350F">
      <w:pPr>
        <w:pStyle w:val="Bulletleft1"/>
      </w:pPr>
      <w:r>
        <w:t>resource use</w:t>
      </w:r>
    </w:p>
    <w:p w14:paraId="4001A345" w14:textId="62C1BE0D" w:rsidR="0056350F" w:rsidRDefault="00DA5A91" w:rsidP="009D315D">
      <w:pPr>
        <w:pStyle w:val="Bulletleft1last"/>
      </w:pPr>
      <w:r>
        <w:t>implementation</w:t>
      </w:r>
      <w:r w:rsidR="007D25C5">
        <w:t>.</w:t>
      </w:r>
    </w:p>
    <w:p w14:paraId="5308BFBA" w14:textId="781A6560" w:rsidR="008C1624" w:rsidRDefault="007D25C5" w:rsidP="007B152D">
      <w:pPr>
        <w:pStyle w:val="NICEnormal"/>
      </w:pPr>
      <w:r>
        <w:t xml:space="preserve">The committee recognised that some of these uncertainties were </w:t>
      </w:r>
      <w:r w:rsidR="00A50D6B">
        <w:t xml:space="preserve">common in </w:t>
      </w:r>
      <w:r w:rsidR="27055FF8">
        <w:t>evidence generated</w:t>
      </w:r>
      <w:r w:rsidR="00A50D6B">
        <w:t xml:space="preserve"> in </w:t>
      </w:r>
      <w:r w:rsidR="534834AE">
        <w:t>many</w:t>
      </w:r>
      <w:r w:rsidR="00A50D6B">
        <w:t xml:space="preserve"> mental health</w:t>
      </w:r>
      <w:r w:rsidR="0B1AE919">
        <w:t xml:space="preserve"> conditions</w:t>
      </w:r>
      <w:r w:rsidR="00A50D6B">
        <w:t>.</w:t>
      </w:r>
    </w:p>
    <w:p w14:paraId="2B940E76" w14:textId="10BBE02B" w:rsidR="00DA5A91" w:rsidRDefault="009D315D" w:rsidP="00727484">
      <w:pPr>
        <w:pStyle w:val="NICEnormal"/>
      </w:pPr>
      <w:r w:rsidRPr="009D315D">
        <w:t>New results from ESCAPE</w:t>
      </w:r>
      <w:r>
        <w:noBreakHyphen/>
      </w:r>
      <w:r w:rsidRPr="009D315D">
        <w:t>TRD have been published in</w:t>
      </w:r>
      <w:r w:rsidRPr="009D315D" w:rsidDel="009D315D">
        <w:t xml:space="preserve"> </w:t>
      </w:r>
      <w:hyperlink r:id="rId9" w:history="1">
        <w:r w:rsidR="0098211D" w:rsidRPr="009D315D">
          <w:rPr>
            <w:rStyle w:val="Hyperlink"/>
          </w:rPr>
          <w:t>Reif et al</w:t>
        </w:r>
        <w:r w:rsidR="00D843C3" w:rsidRPr="009D315D">
          <w:rPr>
            <w:rStyle w:val="Hyperlink"/>
          </w:rPr>
          <w:t>.</w:t>
        </w:r>
        <w:r w:rsidR="0098211D" w:rsidRPr="009D315D">
          <w:rPr>
            <w:rStyle w:val="Hyperlink"/>
          </w:rPr>
          <w:t xml:space="preserve"> (2023)</w:t>
        </w:r>
      </w:hyperlink>
      <w:r w:rsidR="00B600F6">
        <w:t xml:space="preserve">. It concluded that esketamine </w:t>
      </w:r>
      <w:r w:rsidR="00D843C3">
        <w:t>nasal spray plus</w:t>
      </w:r>
      <w:r w:rsidR="00995168">
        <w:t xml:space="preserve"> </w:t>
      </w:r>
      <w:r w:rsidR="00D843C3">
        <w:t xml:space="preserve">a </w:t>
      </w:r>
      <w:r w:rsidR="00995168">
        <w:t>s</w:t>
      </w:r>
      <w:r w:rsidR="00995168" w:rsidRPr="00995168">
        <w:t>elective serotonin reuptake inhibitor</w:t>
      </w:r>
      <w:r w:rsidR="00995168">
        <w:t xml:space="preserve"> </w:t>
      </w:r>
      <w:r w:rsidR="00995168" w:rsidRPr="00995168">
        <w:t>(SSRI</w:t>
      </w:r>
      <w:r w:rsidR="00995168">
        <w:t>)</w:t>
      </w:r>
      <w:r w:rsidR="00B600F6">
        <w:t xml:space="preserve"> increases the proportion of patients in remission compared </w:t>
      </w:r>
      <w:r w:rsidR="007B152D">
        <w:t xml:space="preserve">with </w:t>
      </w:r>
      <w:r w:rsidR="00B600F6">
        <w:t>quetiapine extended</w:t>
      </w:r>
      <w:r w:rsidR="00DC1927">
        <w:t xml:space="preserve"> release</w:t>
      </w:r>
      <w:r w:rsidR="00336819">
        <w:t xml:space="preserve"> (XR)</w:t>
      </w:r>
      <w:r w:rsidR="00B600F6">
        <w:t xml:space="preserve"> </w:t>
      </w:r>
      <w:r w:rsidR="00D843C3">
        <w:t xml:space="preserve">plus an </w:t>
      </w:r>
      <w:r w:rsidR="00B600F6">
        <w:t>SSRI.</w:t>
      </w:r>
    </w:p>
    <w:p w14:paraId="39F32C43" w14:textId="2664D2C1" w:rsidR="005546DB" w:rsidRDefault="00FF02B2" w:rsidP="00727484">
      <w:pPr>
        <w:pStyle w:val="NICEnormal"/>
      </w:pPr>
      <w:r>
        <w:t>Quetiapine</w:t>
      </w:r>
      <w:r w:rsidR="009D315D">
        <w:t> XR</w:t>
      </w:r>
      <w:r w:rsidR="00896EBF">
        <w:t>,</w:t>
      </w:r>
      <w:r w:rsidR="00C92F59">
        <w:t xml:space="preserve"> </w:t>
      </w:r>
      <w:r w:rsidR="007376B1">
        <w:t xml:space="preserve">positioned </w:t>
      </w:r>
      <w:r w:rsidR="00C92F59">
        <w:t>as a third</w:t>
      </w:r>
      <w:r w:rsidR="007B152D">
        <w:t>-</w:t>
      </w:r>
      <w:r w:rsidR="00C92F59">
        <w:t>line or more treatment</w:t>
      </w:r>
      <w:r w:rsidR="00896EBF">
        <w:t>,</w:t>
      </w:r>
      <w:r>
        <w:t xml:space="preserve"> is likely to be a more appropriate comparator than </w:t>
      </w:r>
      <w:r w:rsidR="009D6163">
        <w:t xml:space="preserve">the </w:t>
      </w:r>
      <w:r>
        <w:t>oral antidepressants</w:t>
      </w:r>
      <w:r w:rsidR="00C92F59">
        <w:t xml:space="preserve"> at second line or more</w:t>
      </w:r>
      <w:r>
        <w:t xml:space="preserve"> </w:t>
      </w:r>
      <w:r w:rsidR="009D6163">
        <w:t xml:space="preserve">that were </w:t>
      </w:r>
      <w:r>
        <w:t>considered in TA854</w:t>
      </w:r>
      <w:r w:rsidR="009D6163">
        <w:t>. This is</w:t>
      </w:r>
      <w:r>
        <w:t xml:space="preserve"> because </w:t>
      </w:r>
      <w:r w:rsidR="009D6163">
        <w:t>quetiapine</w:t>
      </w:r>
      <w:r w:rsidR="009D315D">
        <w:t> XR</w:t>
      </w:r>
      <w:r w:rsidR="009D6163">
        <w:t xml:space="preserve"> </w:t>
      </w:r>
      <w:r>
        <w:t>is an augmentation therapy</w:t>
      </w:r>
      <w:r w:rsidR="009D6163">
        <w:t>,</w:t>
      </w:r>
      <w:r w:rsidR="00A90FF2">
        <w:t xml:space="preserve"> and</w:t>
      </w:r>
      <w:r w:rsidR="00C92F59">
        <w:t xml:space="preserve"> esketamine </w:t>
      </w:r>
      <w:r w:rsidR="009D6163">
        <w:t xml:space="preserve">nasal spray </w:t>
      </w:r>
      <w:r w:rsidR="00C92F59">
        <w:t>is likely to be used later in the treatment pathway</w:t>
      </w:r>
      <w:r w:rsidR="00545138">
        <w:t xml:space="preserve"> (see </w:t>
      </w:r>
      <w:hyperlink r:id="rId10" w:anchor="treatment-pathway-and-comparator" w:history="1">
        <w:r w:rsidR="00336819">
          <w:rPr>
            <w:rStyle w:val="Hyperlink"/>
          </w:rPr>
          <w:t>sections 3.3 to 3.5 of TA854</w:t>
        </w:r>
      </w:hyperlink>
      <w:r w:rsidR="00545138">
        <w:t>)</w:t>
      </w:r>
      <w:r w:rsidR="00A90FF2">
        <w:t xml:space="preserve">. </w:t>
      </w:r>
      <w:r w:rsidR="00472DF8" w:rsidRPr="00472DF8">
        <w:t>So, this is a more relevant trial design for establishing the relative clinical benefit compared with currently available treatments</w:t>
      </w:r>
      <w:r w:rsidR="00995168">
        <w:t xml:space="preserve">. </w:t>
      </w:r>
      <w:r w:rsidR="007B152D">
        <w:t>But</w:t>
      </w:r>
      <w:r w:rsidR="00A90FF2">
        <w:t xml:space="preserve"> </w:t>
      </w:r>
      <w:r w:rsidR="00CE67A5">
        <w:t>this tri</w:t>
      </w:r>
      <w:r w:rsidR="00995168">
        <w:t>a</w:t>
      </w:r>
      <w:r w:rsidR="00CE67A5">
        <w:t xml:space="preserve">l represents </w:t>
      </w:r>
      <w:r w:rsidR="00C916A7">
        <w:t xml:space="preserve">only </w:t>
      </w:r>
      <w:r w:rsidR="007B152D">
        <w:t>1 </w:t>
      </w:r>
      <w:r w:rsidR="007376B1">
        <w:t>position</w:t>
      </w:r>
      <w:r w:rsidR="00336819">
        <w:t xml:space="preserve"> of </w:t>
      </w:r>
      <w:r w:rsidR="009D315D">
        <w:t>esketamine nasal spray</w:t>
      </w:r>
      <w:r w:rsidR="007376B1">
        <w:t xml:space="preserve"> in the treatment pathway</w:t>
      </w:r>
      <w:r w:rsidR="00C916A7">
        <w:t>, which</w:t>
      </w:r>
      <w:r w:rsidR="007376B1">
        <w:t xml:space="preserve"> </w:t>
      </w:r>
      <w:r w:rsidR="00C916A7">
        <w:t xml:space="preserve">compares </w:t>
      </w:r>
      <w:r w:rsidR="007B152D">
        <w:t>it</w:t>
      </w:r>
      <w:r w:rsidR="00C916A7">
        <w:t xml:space="preserve"> </w:t>
      </w:r>
      <w:r w:rsidR="007376B1">
        <w:t xml:space="preserve">to </w:t>
      </w:r>
      <w:r w:rsidR="007B152D">
        <w:t>newly starting</w:t>
      </w:r>
      <w:r w:rsidR="007376B1">
        <w:t xml:space="preserve"> </w:t>
      </w:r>
      <w:r w:rsidR="00CE67A5">
        <w:t xml:space="preserve">augmentation </w:t>
      </w:r>
      <w:r w:rsidR="00995168">
        <w:t>therapy</w:t>
      </w:r>
      <w:r w:rsidR="00C916A7">
        <w:t>.</w:t>
      </w:r>
      <w:r w:rsidR="007376B1">
        <w:t xml:space="preserve"> </w:t>
      </w:r>
      <w:r w:rsidR="00C916A7">
        <w:t xml:space="preserve">So, </w:t>
      </w:r>
      <w:r w:rsidR="007376B1">
        <w:t xml:space="preserve">some uncertainty would remain </w:t>
      </w:r>
      <w:r w:rsidR="00C916A7">
        <w:t>if the treatment was positioned</w:t>
      </w:r>
      <w:r w:rsidR="007376B1">
        <w:t xml:space="preserve"> in a highly </w:t>
      </w:r>
      <w:r w:rsidR="007376B1">
        <w:lastRenderedPageBreak/>
        <w:t>heterogeneous and personalised pathway.</w:t>
      </w:r>
      <w:r w:rsidR="005546DB" w:rsidRPr="005546DB">
        <w:t xml:space="preserve"> The subgroup of people </w:t>
      </w:r>
      <w:r w:rsidR="007B152D">
        <w:t>who have had</w:t>
      </w:r>
      <w:r w:rsidR="007B152D" w:rsidRPr="005546DB">
        <w:t xml:space="preserve"> </w:t>
      </w:r>
      <w:r w:rsidR="005546DB" w:rsidRPr="005546DB">
        <w:t>3</w:t>
      </w:r>
      <w:r w:rsidR="007F081C">
        <w:t> </w:t>
      </w:r>
      <w:r w:rsidR="005546DB" w:rsidRPr="005546DB">
        <w:t>or more previous treatments was considered the most appropriate subgroup in TA854</w:t>
      </w:r>
      <w:r w:rsidR="005546DB">
        <w:t>.</w:t>
      </w:r>
    </w:p>
    <w:p w14:paraId="65F981C2" w14:textId="482103B7" w:rsidR="007376B1" w:rsidRDefault="00995168" w:rsidP="00727484">
      <w:pPr>
        <w:pStyle w:val="NICEnormal"/>
      </w:pPr>
      <w:r>
        <w:t>ESCAPE</w:t>
      </w:r>
      <w:r w:rsidR="009D6163">
        <w:noBreakHyphen/>
      </w:r>
      <w:r>
        <w:t>TRD’s</w:t>
      </w:r>
      <w:r w:rsidR="00CE67A5">
        <w:t xml:space="preserve"> primary outcome </w:t>
      </w:r>
      <w:r w:rsidR="00B600F6">
        <w:t xml:space="preserve">showed a rate of remission of 28.7% for the esketamine </w:t>
      </w:r>
      <w:r w:rsidR="009D6163">
        <w:t xml:space="preserve">nasal spray </w:t>
      </w:r>
      <w:r w:rsidR="00B600F6">
        <w:t xml:space="preserve">arm </w:t>
      </w:r>
      <w:r w:rsidR="007B152D">
        <w:t>compared with</w:t>
      </w:r>
      <w:r w:rsidR="009D6163">
        <w:t xml:space="preserve"> </w:t>
      </w:r>
      <w:r w:rsidR="00615882">
        <w:t>18.2% for the quetiapine</w:t>
      </w:r>
      <w:r w:rsidR="009D315D">
        <w:t> XR</w:t>
      </w:r>
      <w:r w:rsidR="00615882">
        <w:t xml:space="preserve"> arm at 8</w:t>
      </w:r>
      <w:r w:rsidR="009D6163">
        <w:t> </w:t>
      </w:r>
      <w:r w:rsidR="00615882">
        <w:t>weeks</w:t>
      </w:r>
      <w:r w:rsidR="00FE6C55">
        <w:t>.</w:t>
      </w:r>
      <w:r w:rsidR="007376B1">
        <w:t xml:space="preserve"> </w:t>
      </w:r>
      <w:r w:rsidR="007B152D">
        <w:t>I</w:t>
      </w:r>
      <w:r w:rsidR="00A00777">
        <w:t>n TA</w:t>
      </w:r>
      <w:r w:rsidR="006843E6">
        <w:t>854,</w:t>
      </w:r>
      <w:r w:rsidR="00F63654">
        <w:t xml:space="preserve"> </w:t>
      </w:r>
      <w:r w:rsidR="007376B1">
        <w:t>the TRANSFORM</w:t>
      </w:r>
      <w:r w:rsidR="009D6163">
        <w:noBreakHyphen/>
      </w:r>
      <w:r w:rsidR="007376B1">
        <w:t>2 trial</w:t>
      </w:r>
      <w:r w:rsidR="007B152D">
        <w:t xml:space="preserve"> was </w:t>
      </w:r>
      <w:r w:rsidR="007376B1">
        <w:t>used as the main input into the economic model</w:t>
      </w:r>
      <w:r w:rsidR="007B152D">
        <w:t>. As a comparison, it used</w:t>
      </w:r>
      <w:r w:rsidR="007376B1">
        <w:t xml:space="preserve"> the 4</w:t>
      </w:r>
      <w:r w:rsidR="009D6163">
        <w:noBreakHyphen/>
      </w:r>
      <w:r w:rsidR="007376B1">
        <w:t xml:space="preserve">week remission rates considered by </w:t>
      </w:r>
      <w:r w:rsidR="009D6163">
        <w:t xml:space="preserve">the </w:t>
      </w:r>
      <w:r w:rsidR="007376B1">
        <w:t>committee for the 3</w:t>
      </w:r>
      <w:r w:rsidR="007F081C">
        <w:t> </w:t>
      </w:r>
      <w:r w:rsidR="005546DB">
        <w:t>or more previous</w:t>
      </w:r>
      <w:r w:rsidR="007376B1">
        <w:t xml:space="preserve"> treatment</w:t>
      </w:r>
      <w:r w:rsidR="007F081C">
        <w:t>-</w:t>
      </w:r>
      <w:r w:rsidR="007376B1">
        <w:t>lines subgroup</w:t>
      </w:r>
      <w:r w:rsidR="009D315D">
        <w:t xml:space="preserve">, which </w:t>
      </w:r>
      <w:r w:rsidR="005546DB">
        <w:t>had substantially increased rates of remission</w:t>
      </w:r>
      <w:r w:rsidR="009D6163">
        <w:t>.</w:t>
      </w:r>
      <w:r w:rsidR="005546DB">
        <w:t xml:space="preserve"> </w:t>
      </w:r>
      <w:r w:rsidR="007B152D">
        <w:t>But</w:t>
      </w:r>
      <w:r w:rsidR="009D6163">
        <w:t>,</w:t>
      </w:r>
      <w:r w:rsidR="005546DB">
        <w:t xml:space="preserve"> the </w:t>
      </w:r>
      <w:r w:rsidR="005C69B1">
        <w:t xml:space="preserve">company considered the numbers </w:t>
      </w:r>
      <w:r w:rsidR="005546DB">
        <w:t>confidential</w:t>
      </w:r>
      <w:r w:rsidR="007F081C">
        <w:t>,</w:t>
      </w:r>
      <w:r w:rsidR="005546DB">
        <w:t xml:space="preserve"> </w:t>
      </w:r>
      <w:r w:rsidR="005C69B1">
        <w:t xml:space="preserve">so they </w:t>
      </w:r>
      <w:r w:rsidR="005546DB">
        <w:t>cannot be reported here.</w:t>
      </w:r>
    </w:p>
    <w:p w14:paraId="573F352D" w14:textId="0CBE2CAC" w:rsidR="005546DB" w:rsidRDefault="00B365D3" w:rsidP="00727484">
      <w:pPr>
        <w:pStyle w:val="NICEnormal"/>
      </w:pPr>
      <w:r>
        <w:t>ESCAPE</w:t>
      </w:r>
      <w:r w:rsidR="005C69B1">
        <w:noBreakHyphen/>
      </w:r>
      <w:r>
        <w:t>TRD’s</w:t>
      </w:r>
      <w:r w:rsidR="00AD06E6">
        <w:t xml:space="preserve"> secondary outcome</w:t>
      </w:r>
      <w:r w:rsidR="00E07D67">
        <w:t xml:space="preserve"> </w:t>
      </w:r>
      <w:r w:rsidR="00A443B8">
        <w:t>showed</w:t>
      </w:r>
      <w:r w:rsidR="00E07D67">
        <w:t xml:space="preserve"> </w:t>
      </w:r>
      <w:r w:rsidR="00CA7EB5">
        <w:t xml:space="preserve">that </w:t>
      </w:r>
      <w:r w:rsidR="00E07D67">
        <w:t>the</w:t>
      </w:r>
      <w:r>
        <w:t xml:space="preserve"> </w:t>
      </w:r>
      <w:r w:rsidR="00615882">
        <w:t>difference in</w:t>
      </w:r>
      <w:r w:rsidR="000E2B7D" w:rsidRPr="000E2B7D">
        <w:t xml:space="preserve"> Montgomery–Åsberg Depression Rating Scale</w:t>
      </w:r>
      <w:r w:rsidR="00406757">
        <w:t xml:space="preserve"> </w:t>
      </w:r>
      <w:r w:rsidR="000E2B7D">
        <w:t>(</w:t>
      </w:r>
      <w:r w:rsidR="00615882">
        <w:t>MADRS</w:t>
      </w:r>
      <w:r w:rsidR="00CA7EB5">
        <w:t>; a 60</w:t>
      </w:r>
      <w:r w:rsidR="00CA7EB5">
        <w:noBreakHyphen/>
        <w:t>point scale with a score of 10 or less indicating clinical remission for the primary outcome</w:t>
      </w:r>
      <w:r w:rsidR="000E2B7D">
        <w:t>)</w:t>
      </w:r>
      <w:r w:rsidR="00615882">
        <w:t xml:space="preserve"> scores between the 2</w:t>
      </w:r>
      <w:r w:rsidR="007F081C">
        <w:t> </w:t>
      </w:r>
      <w:r w:rsidR="00615882">
        <w:t>treatment arms was 2.8 at 8</w:t>
      </w:r>
      <w:r w:rsidR="005C69B1">
        <w:t> </w:t>
      </w:r>
      <w:r w:rsidR="00615882">
        <w:t>weeks</w:t>
      </w:r>
      <w:r w:rsidR="007F081C">
        <w:t xml:space="preserve"> and</w:t>
      </w:r>
      <w:r w:rsidR="00615882">
        <w:t xml:space="preserve"> 2.2 at 32</w:t>
      </w:r>
      <w:r w:rsidR="005C69B1">
        <w:t> </w:t>
      </w:r>
      <w:r w:rsidR="00615882">
        <w:t>weeks</w:t>
      </w:r>
      <w:r w:rsidR="007F081C">
        <w:t>. Also</w:t>
      </w:r>
      <w:r w:rsidR="00CA7EB5">
        <w:t>,</w:t>
      </w:r>
      <w:r w:rsidR="00615882">
        <w:t xml:space="preserve"> </w:t>
      </w:r>
      <w:r w:rsidR="005C69B1">
        <w:t xml:space="preserve">there was </w:t>
      </w:r>
      <w:r w:rsidR="00615882">
        <w:t xml:space="preserve">a mean least squares difference over the entire time period of 2.4. This was in the context of an overall </w:t>
      </w:r>
      <w:r w:rsidR="00B57C17">
        <w:t>reduction in MADRS score</w:t>
      </w:r>
      <w:r w:rsidR="00615882">
        <w:t xml:space="preserve"> of </w:t>
      </w:r>
      <w:r w:rsidR="007F081C">
        <w:t xml:space="preserve">about </w:t>
      </w:r>
      <w:r w:rsidR="00615882">
        <w:t>20</w:t>
      </w:r>
      <w:r w:rsidR="005C69B1">
        <w:t> </w:t>
      </w:r>
      <w:r w:rsidR="00615882">
        <w:t>points on the MADRS scale over the 32</w:t>
      </w:r>
      <w:r w:rsidR="005C69B1">
        <w:t> </w:t>
      </w:r>
      <w:r w:rsidR="00615882">
        <w:t>weeks</w:t>
      </w:r>
      <w:r w:rsidR="00CE67A5">
        <w:t xml:space="preserve"> in the quetiapine</w:t>
      </w:r>
      <w:r w:rsidR="009D315D">
        <w:t> XR</w:t>
      </w:r>
      <w:r w:rsidR="00CE67A5">
        <w:t xml:space="preserve"> arm</w:t>
      </w:r>
      <w:r w:rsidR="00B57C17">
        <w:t xml:space="preserve">. In TA854, </w:t>
      </w:r>
      <w:r w:rsidR="007F081C">
        <w:t xml:space="preserve">at 4 weeks, </w:t>
      </w:r>
      <w:r w:rsidR="00B57C17">
        <w:t xml:space="preserve">the difference between arms was 4.0 for the full population </w:t>
      </w:r>
      <w:r w:rsidR="00DC745D">
        <w:t xml:space="preserve">covered by the marketing </w:t>
      </w:r>
      <w:r w:rsidR="0006598A">
        <w:t>authorisation</w:t>
      </w:r>
      <w:r w:rsidR="00472F6E">
        <w:t xml:space="preserve">. </w:t>
      </w:r>
      <w:r w:rsidR="005546DB">
        <w:t>In the 3</w:t>
      </w:r>
      <w:r w:rsidR="007F081C">
        <w:t> </w:t>
      </w:r>
      <w:r w:rsidR="005546DB">
        <w:t>or more previous</w:t>
      </w:r>
      <w:r w:rsidR="005C69B1">
        <w:t xml:space="preserve"> treatment</w:t>
      </w:r>
      <w:r w:rsidR="007F081C">
        <w:t>-</w:t>
      </w:r>
      <w:r w:rsidR="005C69B1">
        <w:t>lines</w:t>
      </w:r>
      <w:r w:rsidR="005546DB">
        <w:t xml:space="preserve"> subgroup, the </w:t>
      </w:r>
      <w:r w:rsidR="00995168">
        <w:t>overall difference in MADRS</w:t>
      </w:r>
      <w:r w:rsidR="00CE67A5">
        <w:t xml:space="preserve"> was higher, but the value was considered confidential by the company</w:t>
      </w:r>
      <w:r w:rsidR="007F081C">
        <w:t xml:space="preserve"> so</w:t>
      </w:r>
      <w:r w:rsidR="00CE67A5">
        <w:t xml:space="preserve"> cannot be reported here.</w:t>
      </w:r>
    </w:p>
    <w:p w14:paraId="1BD90975" w14:textId="1782B5F9" w:rsidR="00482B50" w:rsidRDefault="00482B50" w:rsidP="00727484">
      <w:pPr>
        <w:pStyle w:val="NICEnormal"/>
      </w:pPr>
      <w:r>
        <w:t xml:space="preserve">For both outcomes, NICE recognises </w:t>
      </w:r>
      <w:r w:rsidR="005C69B1">
        <w:t xml:space="preserve">that </w:t>
      </w:r>
      <w:r>
        <w:t xml:space="preserve">this </w:t>
      </w:r>
      <w:r w:rsidR="007F081C">
        <w:t xml:space="preserve">was </w:t>
      </w:r>
      <w:r>
        <w:t xml:space="preserve">a </w:t>
      </w:r>
      <w:r w:rsidR="005C69B1">
        <w:t xml:space="preserve">naive </w:t>
      </w:r>
      <w:r>
        <w:t>comparison</w:t>
      </w:r>
      <w:r w:rsidR="007F081C">
        <w:t>,</w:t>
      </w:r>
      <w:r>
        <w:t xml:space="preserve"> and </w:t>
      </w:r>
      <w:r w:rsidR="005C69B1">
        <w:t xml:space="preserve">that </w:t>
      </w:r>
      <w:r>
        <w:t xml:space="preserve">there </w:t>
      </w:r>
      <w:r w:rsidR="007F081C">
        <w:t xml:space="preserve">were </w:t>
      </w:r>
      <w:r>
        <w:t>differences in trial designs and definition of remission</w:t>
      </w:r>
      <w:r w:rsidR="005C69B1">
        <w:t>.</w:t>
      </w:r>
      <w:r>
        <w:t xml:space="preserve"> </w:t>
      </w:r>
      <w:r w:rsidR="005C69B1">
        <w:t>B</w:t>
      </w:r>
      <w:r>
        <w:t>ut</w:t>
      </w:r>
      <w:r w:rsidR="007F081C">
        <w:t>,</w:t>
      </w:r>
      <w:r>
        <w:t xml:space="preserve"> </w:t>
      </w:r>
      <w:r w:rsidR="005C69B1">
        <w:t>the comparison</w:t>
      </w:r>
      <w:r>
        <w:t xml:space="preserve"> </w:t>
      </w:r>
      <w:r w:rsidR="007F081C">
        <w:t xml:space="preserve">was </w:t>
      </w:r>
      <w:r>
        <w:t>appropriate for considering magnitude of effect size.</w:t>
      </w:r>
    </w:p>
    <w:p w14:paraId="7B04D9B7" w14:textId="51E9F35C" w:rsidR="00143651" w:rsidRDefault="00B365D3" w:rsidP="00727484">
      <w:pPr>
        <w:pStyle w:val="NICEnormal"/>
      </w:pPr>
      <w:r>
        <w:t>I</w:t>
      </w:r>
      <w:r w:rsidR="00E859DC">
        <w:t>n TA854</w:t>
      </w:r>
      <w:r>
        <w:t xml:space="preserve">, </w:t>
      </w:r>
      <w:r w:rsidR="00E859DC">
        <w:t xml:space="preserve">the results of </w:t>
      </w:r>
      <w:r>
        <w:t xml:space="preserve">a </w:t>
      </w:r>
      <w:r w:rsidR="00E859DC">
        <w:t>network meta-</w:t>
      </w:r>
      <w:r w:rsidR="005C69B1">
        <w:t xml:space="preserve">analysis </w:t>
      </w:r>
      <w:r w:rsidR="00E859DC">
        <w:t xml:space="preserve">were considered unreliable </w:t>
      </w:r>
      <w:r w:rsidR="00CA7EB5">
        <w:t>because of</w:t>
      </w:r>
      <w:r w:rsidR="00E859DC">
        <w:t xml:space="preserve"> heterogeneity</w:t>
      </w:r>
      <w:r w:rsidR="005D3466">
        <w:t xml:space="preserve"> in </w:t>
      </w:r>
      <w:r w:rsidR="005C69B1">
        <w:t xml:space="preserve">the </w:t>
      </w:r>
      <w:r w:rsidR="005D3466">
        <w:t>available clinical evidence</w:t>
      </w:r>
      <w:r w:rsidR="005C69B1">
        <w:t>.</w:t>
      </w:r>
      <w:r w:rsidR="00E859DC">
        <w:t xml:space="preserve"> </w:t>
      </w:r>
      <w:r w:rsidR="005C69B1">
        <w:t>S</w:t>
      </w:r>
      <w:r w:rsidR="00E859DC">
        <w:t>o</w:t>
      </w:r>
      <w:r w:rsidR="005C69B1">
        <w:t>,</w:t>
      </w:r>
      <w:r w:rsidR="00E859DC">
        <w:t xml:space="preserve"> an unadjusted analysis with trial results </w:t>
      </w:r>
      <w:r w:rsidR="005C69B1">
        <w:t xml:space="preserve">was </w:t>
      </w:r>
      <w:r w:rsidR="00E859DC">
        <w:t xml:space="preserve">used (see </w:t>
      </w:r>
      <w:hyperlink r:id="rId11" w:anchor="treatment-pathway-and-comparator" w:history="1">
        <w:r w:rsidR="00336819">
          <w:rPr>
            <w:rStyle w:val="Hyperlink"/>
          </w:rPr>
          <w:t>section 3.6 of TA854</w:t>
        </w:r>
      </w:hyperlink>
      <w:r w:rsidR="00E859DC">
        <w:t xml:space="preserve">). </w:t>
      </w:r>
      <w:r>
        <w:t xml:space="preserve">Using a </w:t>
      </w:r>
      <w:r w:rsidR="005C69B1">
        <w:t xml:space="preserve">naive </w:t>
      </w:r>
      <w:r>
        <w:t xml:space="preserve">comparison of change in </w:t>
      </w:r>
      <w:r w:rsidR="0084669A">
        <w:t xml:space="preserve">remission rates or change in </w:t>
      </w:r>
      <w:r>
        <w:t xml:space="preserve">MADRS score suggests </w:t>
      </w:r>
      <w:r w:rsidR="005C69B1">
        <w:t xml:space="preserve">that </w:t>
      </w:r>
      <w:r>
        <w:t xml:space="preserve">the benefit of esketamine </w:t>
      </w:r>
      <w:r w:rsidR="009D6163">
        <w:t xml:space="preserve">nasal spray </w:t>
      </w:r>
      <w:r>
        <w:t>from ESCAPE</w:t>
      </w:r>
      <w:r w:rsidR="005C69B1">
        <w:noBreakHyphen/>
      </w:r>
      <w:r>
        <w:t xml:space="preserve">TRD is smaller than the benefit of esketamine </w:t>
      </w:r>
      <w:r w:rsidR="009D6163">
        <w:t xml:space="preserve">nasal spray </w:t>
      </w:r>
      <w:r>
        <w:t>considered by the committee in TA854</w:t>
      </w:r>
      <w:r w:rsidR="00D412BF">
        <w:t>.</w:t>
      </w:r>
      <w:r w:rsidR="00560C52">
        <w:t xml:space="preserve"> </w:t>
      </w:r>
      <w:r w:rsidR="00B57C17">
        <w:t>T</w:t>
      </w:r>
      <w:r w:rsidR="00E859DC">
        <w:t>his new</w:t>
      </w:r>
      <w:r w:rsidR="00B57C17">
        <w:t xml:space="preserve"> </w:t>
      </w:r>
      <w:r w:rsidR="00EE7DF0">
        <w:t xml:space="preserve">clinical </w:t>
      </w:r>
      <w:r w:rsidR="00EE7DF0">
        <w:lastRenderedPageBreak/>
        <w:t>evidence</w:t>
      </w:r>
      <w:r w:rsidR="00931E7B">
        <w:t xml:space="preserve"> </w:t>
      </w:r>
      <w:r>
        <w:t>from ESCAPE</w:t>
      </w:r>
      <w:r w:rsidR="005C69B1">
        <w:noBreakHyphen/>
      </w:r>
      <w:r>
        <w:t xml:space="preserve">TRD </w:t>
      </w:r>
      <w:r w:rsidR="005546DB">
        <w:t>does not provide</w:t>
      </w:r>
      <w:r w:rsidR="00EE7DF0">
        <w:t xml:space="preserve"> </w:t>
      </w:r>
      <w:r w:rsidR="00702A26">
        <w:t>sufficient information to change</w:t>
      </w:r>
      <w:r w:rsidR="00931E7B">
        <w:t xml:space="preserve"> the</w:t>
      </w:r>
      <w:r w:rsidR="00B57C17">
        <w:t xml:space="preserve"> current recommendation.</w:t>
      </w:r>
    </w:p>
    <w:p w14:paraId="490E8B83" w14:textId="061B8AEB" w:rsidR="00B600F6" w:rsidRDefault="00472F6E" w:rsidP="00727484">
      <w:pPr>
        <w:pStyle w:val="NICEnormal"/>
      </w:pPr>
      <w:r>
        <w:t>S</w:t>
      </w:r>
      <w:r w:rsidR="00B57C17">
        <w:t xml:space="preserve">takeholders </w:t>
      </w:r>
      <w:r w:rsidR="00615882">
        <w:t xml:space="preserve">highlighted </w:t>
      </w:r>
      <w:r w:rsidR="007F081C">
        <w:t xml:space="preserve">that there are </w:t>
      </w:r>
      <w:r w:rsidR="00615882">
        <w:t>th</w:t>
      </w:r>
      <w:r w:rsidR="00896463">
        <w:t>e high</w:t>
      </w:r>
      <w:r w:rsidR="007F081C">
        <w:t>er</w:t>
      </w:r>
      <w:r w:rsidR="00896463">
        <w:t xml:space="preserve"> levels of </w:t>
      </w:r>
      <w:r w:rsidR="00B57C17">
        <w:t xml:space="preserve">responses to all treatments in clinical trials </w:t>
      </w:r>
      <w:r w:rsidR="007F081C">
        <w:t>compared with</w:t>
      </w:r>
      <w:r w:rsidR="00B57C17">
        <w:t xml:space="preserve"> clinical practice</w:t>
      </w:r>
      <w:r w:rsidR="007F081C">
        <w:t>. This is</w:t>
      </w:r>
      <w:r w:rsidR="005C3501">
        <w:t xml:space="preserve"> exacerbated in mental health</w:t>
      </w:r>
      <w:r w:rsidR="421E5FC3">
        <w:t xml:space="preserve"> conditions</w:t>
      </w:r>
      <w:r w:rsidR="007F081C">
        <w:t xml:space="preserve"> </w:t>
      </w:r>
      <w:r w:rsidR="00CA7EB5">
        <w:t>because of</w:t>
      </w:r>
      <w:r w:rsidR="008B6339" w:rsidRPr="008B6339">
        <w:t xml:space="preserve"> the difficulties of evidence generation</w:t>
      </w:r>
      <w:r w:rsidR="00B57C17">
        <w:t xml:space="preserve">. The committee also noted concerns about unblinding of treatment </w:t>
      </w:r>
      <w:r w:rsidR="00143651">
        <w:t>and how this may affect results</w:t>
      </w:r>
      <w:r w:rsidR="007F081C">
        <w:t>. B</w:t>
      </w:r>
      <w:r w:rsidR="00143651">
        <w:t>ut</w:t>
      </w:r>
      <w:r w:rsidR="007F081C">
        <w:t>,</w:t>
      </w:r>
      <w:r w:rsidR="00143651">
        <w:t xml:space="preserve"> ESCAPE</w:t>
      </w:r>
      <w:r w:rsidR="005C69B1">
        <w:noBreakHyphen/>
      </w:r>
      <w:r w:rsidR="00143651">
        <w:t xml:space="preserve">TRD </w:t>
      </w:r>
      <w:r w:rsidR="007F081C">
        <w:t xml:space="preserve">was </w:t>
      </w:r>
      <w:r w:rsidR="00143651">
        <w:t>an open-label study, so results should be interpreted with caution.</w:t>
      </w:r>
    </w:p>
    <w:p w14:paraId="25247EDB" w14:textId="69AD0966" w:rsidR="007F081C" w:rsidRDefault="00B57C17" w:rsidP="00727484">
      <w:pPr>
        <w:pStyle w:val="NICEnormal"/>
      </w:pPr>
      <w:r>
        <w:t xml:space="preserve">The new evidence may </w:t>
      </w:r>
      <w:r w:rsidR="00CA7EB5">
        <w:t xml:space="preserve">provide </w:t>
      </w:r>
      <w:r>
        <w:t>some reduction in uncertainty about</w:t>
      </w:r>
      <w:r w:rsidR="007F081C">
        <w:t>:</w:t>
      </w:r>
    </w:p>
    <w:p w14:paraId="79DEC4AB" w14:textId="2E4E7874" w:rsidR="007F081C" w:rsidRDefault="00B57C17" w:rsidP="007F081C">
      <w:pPr>
        <w:pStyle w:val="Bulletleft1"/>
      </w:pPr>
      <w:r>
        <w:t>treatment line (th</w:t>
      </w:r>
      <w:r w:rsidR="00143651">
        <w:t>ere is more</w:t>
      </w:r>
      <w:r>
        <w:t xml:space="preserve"> </w:t>
      </w:r>
      <w:r w:rsidR="00143651">
        <w:t xml:space="preserve">evidence </w:t>
      </w:r>
      <w:r>
        <w:t>later in the pathway)</w:t>
      </w:r>
    </w:p>
    <w:p w14:paraId="52615B6A" w14:textId="136FD149" w:rsidR="007F081C" w:rsidRDefault="00B57C17" w:rsidP="007F081C">
      <w:pPr>
        <w:pStyle w:val="Bulletleft1"/>
      </w:pPr>
      <w:r>
        <w:t xml:space="preserve">comparator treatment (quetiapine XR is </w:t>
      </w:r>
      <w:r w:rsidR="00931E7B">
        <w:t>a relevant comparator</w:t>
      </w:r>
      <w:r>
        <w:t>)</w:t>
      </w:r>
    </w:p>
    <w:p w14:paraId="4B3350C8" w14:textId="1A1E3035" w:rsidR="007F081C" w:rsidRDefault="00143651" w:rsidP="001F628F">
      <w:pPr>
        <w:pStyle w:val="Bulletleft1last"/>
      </w:pPr>
      <w:r>
        <w:t>longer-term effects of the treatment (these results are for up to 32</w:t>
      </w:r>
      <w:r w:rsidR="005C69B1">
        <w:t> </w:t>
      </w:r>
      <w:r>
        <w:t>weeks instead of 4</w:t>
      </w:r>
      <w:r w:rsidR="005C69B1">
        <w:t> </w:t>
      </w:r>
      <w:r>
        <w:t xml:space="preserve">weeks). </w:t>
      </w:r>
    </w:p>
    <w:p w14:paraId="7EAF260E" w14:textId="1CC81FBF" w:rsidR="00B57C17" w:rsidRPr="00B600F6" w:rsidRDefault="007F081C" w:rsidP="007F081C">
      <w:pPr>
        <w:pStyle w:val="NICEnormal"/>
      </w:pPr>
      <w:r>
        <w:t>But</w:t>
      </w:r>
      <w:r w:rsidR="00143651">
        <w:t xml:space="preserve">, </w:t>
      </w:r>
      <w:r>
        <w:t>it does</w:t>
      </w:r>
      <w:r w:rsidR="00143651">
        <w:t xml:space="preserve"> not resolve many of the other substantial uncertainties with the evidence base or modelling concerns.</w:t>
      </w:r>
    </w:p>
    <w:p w14:paraId="11B0373D" w14:textId="77777777" w:rsidR="00A4265E" w:rsidRPr="00A4265E" w:rsidRDefault="00A4265E" w:rsidP="00A4265E">
      <w:pPr>
        <w:pStyle w:val="Heading2"/>
      </w:pPr>
      <w:r w:rsidRPr="00A4265E">
        <w:t>Are there any related pieces of NICE guidance relevant to this appraisal? If so, what implications might this have for the existing guidance?</w:t>
      </w:r>
    </w:p>
    <w:p w14:paraId="3043CB85" w14:textId="757DF835" w:rsidR="00A4265E" w:rsidRDefault="006757C7" w:rsidP="00727484">
      <w:pPr>
        <w:pStyle w:val="NICEnormal"/>
      </w:pPr>
      <w:hyperlink r:id="rId12" w:history="1">
        <w:r w:rsidR="00727484" w:rsidRPr="00727484">
          <w:rPr>
            <w:rStyle w:val="Hyperlink"/>
          </w:rPr>
          <w:t>NICE’s t</w:t>
        </w:r>
        <w:r w:rsidR="005C69B1" w:rsidRPr="00727484">
          <w:rPr>
            <w:rStyle w:val="Hyperlink"/>
          </w:rPr>
          <w:t xml:space="preserve">erminated </w:t>
        </w:r>
        <w:r w:rsidR="00727484" w:rsidRPr="00727484">
          <w:rPr>
            <w:rStyle w:val="Hyperlink"/>
          </w:rPr>
          <w:t xml:space="preserve">technology </w:t>
        </w:r>
        <w:r w:rsidR="005C69B1" w:rsidRPr="00727484">
          <w:rPr>
            <w:rStyle w:val="Hyperlink"/>
          </w:rPr>
          <w:t xml:space="preserve">appraisal </w:t>
        </w:r>
        <w:r w:rsidR="00727484" w:rsidRPr="00727484">
          <w:rPr>
            <w:rStyle w:val="Hyperlink"/>
          </w:rPr>
          <w:t>on esketamine for treating major depressive disorder in adults at imminent risk of suicide</w:t>
        </w:r>
      </w:hyperlink>
      <w:r w:rsidR="00727484">
        <w:t xml:space="preserve"> is the only</w:t>
      </w:r>
      <w:r w:rsidR="005C69B1">
        <w:t xml:space="preserve"> related piece of </w:t>
      </w:r>
      <w:r w:rsidR="00727484">
        <w:t xml:space="preserve">NICE </w:t>
      </w:r>
      <w:r w:rsidR="005C69B1">
        <w:t>guidance</w:t>
      </w:r>
      <w:r w:rsidR="00FF02B2" w:rsidRPr="00FF02B2">
        <w:t xml:space="preserve">. </w:t>
      </w:r>
      <w:r w:rsidR="005C69B1">
        <w:t>Th</w:t>
      </w:r>
      <w:r w:rsidR="00727484">
        <w:t>is guidance has</w:t>
      </w:r>
      <w:r w:rsidR="005C69B1">
        <w:t xml:space="preserve"> n</w:t>
      </w:r>
      <w:r w:rsidR="00FF02B2" w:rsidRPr="00FF02B2">
        <w:t xml:space="preserve">o implications for </w:t>
      </w:r>
      <w:r w:rsidR="005C69B1">
        <w:t>TA854</w:t>
      </w:r>
      <w:r w:rsidR="00FF02B2" w:rsidRPr="00FF02B2">
        <w:t>.</w:t>
      </w:r>
    </w:p>
    <w:p w14:paraId="49A2EEB8" w14:textId="77777777" w:rsidR="00A4265E" w:rsidRPr="00A4265E" w:rsidRDefault="00A4265E" w:rsidP="00B42048">
      <w:pPr>
        <w:pStyle w:val="Heading1"/>
      </w:pPr>
      <w:r w:rsidRPr="00A4265E">
        <w:t>Equality issues</w:t>
      </w:r>
    </w:p>
    <w:p w14:paraId="6CA19D49" w14:textId="39A66075" w:rsidR="000B6A5F" w:rsidRDefault="00DA5A91" w:rsidP="00727484">
      <w:pPr>
        <w:pStyle w:val="NICEnormal"/>
      </w:pPr>
      <w:r>
        <w:t xml:space="preserve"> </w:t>
      </w:r>
      <w:r w:rsidR="000B6A5F">
        <w:t xml:space="preserve">There were some </w:t>
      </w:r>
      <w:r w:rsidR="00D42DDC">
        <w:t xml:space="preserve">potential </w:t>
      </w:r>
      <w:r w:rsidR="000B6A5F">
        <w:t>equality issues raised in the original guidance:</w:t>
      </w:r>
    </w:p>
    <w:p w14:paraId="0342E0EC" w14:textId="533A5453" w:rsidR="00D42DDC" w:rsidRDefault="00D42DDC" w:rsidP="00727484">
      <w:pPr>
        <w:pStyle w:val="Bulletleft1"/>
      </w:pPr>
      <w:r>
        <w:t>G</w:t>
      </w:r>
      <w:r w:rsidR="000B6A5F" w:rsidRPr="000B6A5F">
        <w:t xml:space="preserve">eographical access may be an equalities </w:t>
      </w:r>
      <w:r>
        <w:t xml:space="preserve">consideration because an aspect of the </w:t>
      </w:r>
      <w:r w:rsidR="00B42048">
        <w:t xml:space="preserve">condition </w:t>
      </w:r>
      <w:r>
        <w:t>is lack of energy and motivation</w:t>
      </w:r>
      <w:r w:rsidR="002876A9">
        <w:t>. S</w:t>
      </w:r>
      <w:r w:rsidR="00B42048">
        <w:t>o</w:t>
      </w:r>
      <w:r w:rsidR="002876A9">
        <w:t>,</w:t>
      </w:r>
      <w:r w:rsidR="00B42048">
        <w:t xml:space="preserve"> </w:t>
      </w:r>
      <w:r w:rsidR="002876A9">
        <w:t>esketamine</w:t>
      </w:r>
      <w:r w:rsidR="00B42048">
        <w:t xml:space="preserve"> </w:t>
      </w:r>
      <w:r>
        <w:t xml:space="preserve">administration would need to be in the community setting. There were also concerns about </w:t>
      </w:r>
      <w:r>
        <w:lastRenderedPageBreak/>
        <w:t xml:space="preserve">equity of access in the criminal justice system. </w:t>
      </w:r>
      <w:r w:rsidR="002876A9">
        <w:t>But</w:t>
      </w:r>
      <w:r w:rsidR="00B42048">
        <w:t>,</w:t>
      </w:r>
      <w:r>
        <w:t xml:space="preserve"> the committee considered </w:t>
      </w:r>
      <w:r w:rsidR="00B42048">
        <w:t xml:space="preserve">that </w:t>
      </w:r>
      <w:r>
        <w:t>these issues were matters of equity, not equality</w:t>
      </w:r>
      <w:r w:rsidR="002876A9">
        <w:t>,</w:t>
      </w:r>
      <w:r>
        <w:t xml:space="preserve"> </w:t>
      </w:r>
      <w:r w:rsidR="00B42048">
        <w:t xml:space="preserve">so </w:t>
      </w:r>
      <w:r w:rsidR="002419BA">
        <w:t>would</w:t>
      </w:r>
      <w:r>
        <w:t xml:space="preserve"> not be addressed.</w:t>
      </w:r>
    </w:p>
    <w:p w14:paraId="518313A6" w14:textId="7FC1D734" w:rsidR="00D42DDC" w:rsidRDefault="00D42DDC" w:rsidP="00727484">
      <w:pPr>
        <w:pStyle w:val="Bulletleft1last"/>
      </w:pPr>
      <w:r>
        <w:t xml:space="preserve">People </w:t>
      </w:r>
      <w:r w:rsidR="009E173C" w:rsidRPr="009E173C">
        <w:t>who are underserved are more likely</w:t>
      </w:r>
      <w:r w:rsidR="00B37498">
        <w:t xml:space="preserve"> </w:t>
      </w:r>
      <w:r>
        <w:t>to have treatment-resistant depression.</w:t>
      </w:r>
    </w:p>
    <w:p w14:paraId="2392BB7E" w14:textId="3F914EDF" w:rsidR="00A4265E" w:rsidRPr="00A4265E" w:rsidRDefault="009D1B94" w:rsidP="009937C4">
      <w:pPr>
        <w:pStyle w:val="Heading1"/>
      </w:pPr>
      <w:r>
        <w:t>D</w:t>
      </w:r>
      <w:r w:rsidR="00EF3AF9">
        <w:t>ecision</w:t>
      </w:r>
      <w:r w:rsidR="00A4265E" w:rsidRPr="00A4265E">
        <w:t xml:space="preserve"> paper sign off</w:t>
      </w:r>
    </w:p>
    <w:p w14:paraId="0B005EB7" w14:textId="4A69EB0A" w:rsidR="00B42048" w:rsidRDefault="006D1E4A" w:rsidP="003D3D3F">
      <w:pPr>
        <w:pStyle w:val="Paragraphnonumbers"/>
        <w:spacing w:line="240" w:lineRule="auto"/>
      </w:pPr>
      <w:r>
        <w:t>Jasdeep Hayre</w:t>
      </w:r>
    </w:p>
    <w:p w14:paraId="131F6130" w14:textId="5C6AAFEE" w:rsidR="00A4265E" w:rsidRPr="00727484" w:rsidRDefault="00A4265E" w:rsidP="003D3D3F">
      <w:pPr>
        <w:pStyle w:val="Paragraphnonumbers"/>
        <w:spacing w:line="240" w:lineRule="auto"/>
        <w:rPr>
          <w:b/>
          <w:bCs/>
        </w:rPr>
      </w:pPr>
      <w:r w:rsidRPr="00727484">
        <w:rPr>
          <w:b/>
          <w:bCs/>
        </w:rPr>
        <w:t>Associate Director, Technology Appraisals and Highly Specialised Technologies</w:t>
      </w:r>
    </w:p>
    <w:p w14:paraId="725101E0" w14:textId="03EC1A60" w:rsidR="00A4265E" w:rsidRDefault="00A4265E" w:rsidP="009937C4">
      <w:pPr>
        <w:pStyle w:val="Heading1"/>
      </w:pPr>
      <w:r>
        <w:t>Contributors to this paper</w:t>
      </w:r>
    </w:p>
    <w:p w14:paraId="0C3A4370" w14:textId="13BC9158" w:rsidR="00727484" w:rsidRPr="00727484" w:rsidRDefault="00A4265E" w:rsidP="003D3D3F">
      <w:pPr>
        <w:pStyle w:val="Paragraphnonumbers"/>
        <w:spacing w:line="240" w:lineRule="auto"/>
        <w:rPr>
          <w:b/>
          <w:bCs/>
        </w:rPr>
      </w:pPr>
      <w:r w:rsidRPr="00727484">
        <w:rPr>
          <w:b/>
          <w:bCs/>
        </w:rPr>
        <w:t>Technical Adviser</w:t>
      </w:r>
    </w:p>
    <w:p w14:paraId="7B86D776" w14:textId="70D0903C" w:rsidR="00A4265E" w:rsidRDefault="006D1E4A" w:rsidP="003D3D3F">
      <w:pPr>
        <w:pStyle w:val="Paragraphnonumbers"/>
        <w:spacing w:line="240" w:lineRule="auto"/>
      </w:pPr>
      <w:r>
        <w:t>Adam Brooke</w:t>
      </w:r>
    </w:p>
    <w:p w14:paraId="66B451A1" w14:textId="4420A6D9" w:rsidR="00727484" w:rsidRPr="00727484" w:rsidRDefault="00A4265E" w:rsidP="003D3D3F">
      <w:pPr>
        <w:pStyle w:val="Paragraphnonumbers"/>
        <w:spacing w:line="240" w:lineRule="auto"/>
        <w:rPr>
          <w:b/>
          <w:bCs/>
        </w:rPr>
      </w:pPr>
      <w:r w:rsidRPr="00727484">
        <w:rPr>
          <w:b/>
          <w:bCs/>
        </w:rPr>
        <w:t>Associate Director</w:t>
      </w:r>
    </w:p>
    <w:p w14:paraId="7F04C139" w14:textId="007D6C67" w:rsidR="00A4265E" w:rsidRDefault="006D1E4A" w:rsidP="003D3D3F">
      <w:pPr>
        <w:pStyle w:val="Paragraphnonumbers"/>
        <w:spacing w:line="240" w:lineRule="auto"/>
      </w:pPr>
      <w:r>
        <w:t>Jasdeep Hayre</w:t>
      </w:r>
    </w:p>
    <w:p w14:paraId="405A03AB" w14:textId="33ADB06B" w:rsidR="00727484" w:rsidRPr="00727484" w:rsidRDefault="00A4265E" w:rsidP="00702A26">
      <w:pPr>
        <w:pStyle w:val="Paragraphnonumbers"/>
        <w:spacing w:line="240" w:lineRule="auto"/>
        <w:rPr>
          <w:b/>
          <w:bCs/>
        </w:rPr>
      </w:pPr>
      <w:r w:rsidRPr="00727484">
        <w:rPr>
          <w:b/>
          <w:bCs/>
        </w:rPr>
        <w:t>Project Manager</w:t>
      </w:r>
    </w:p>
    <w:p w14:paraId="543318D7" w14:textId="64879488" w:rsidR="008D4B3C" w:rsidRDefault="00063BD5" w:rsidP="00702A26">
      <w:pPr>
        <w:pStyle w:val="Paragraphnonumbers"/>
        <w:spacing w:line="240" w:lineRule="auto"/>
      </w:pPr>
      <w:r>
        <w:t>Gavin Kenny</w:t>
      </w:r>
    </w:p>
    <w:p w14:paraId="1F3CD9D1" w14:textId="2955CDB1" w:rsidR="0053533C" w:rsidRDefault="348367E7" w:rsidP="00CC004B">
      <w:pPr>
        <w:pStyle w:val="Paragraphnonumbers"/>
        <w:spacing w:line="240" w:lineRule="auto"/>
      </w:pPr>
      <w:r>
        <w:t>June</w:t>
      </w:r>
      <w:r w:rsidR="00D843C3">
        <w:t> </w:t>
      </w:r>
      <w:r w:rsidR="00660A02">
        <w:t>2024</w:t>
      </w:r>
    </w:p>
    <w:sectPr w:rsidR="0053533C" w:rsidSect="0000391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09CE" w14:textId="77777777" w:rsidR="0000391B" w:rsidRDefault="0000391B" w:rsidP="00446BEE">
      <w:r>
        <w:separator/>
      </w:r>
    </w:p>
  </w:endnote>
  <w:endnote w:type="continuationSeparator" w:id="0">
    <w:p w14:paraId="371160FF" w14:textId="77777777" w:rsidR="0000391B" w:rsidRDefault="0000391B" w:rsidP="00446BEE">
      <w:r>
        <w:continuationSeparator/>
      </w:r>
    </w:p>
  </w:endnote>
  <w:endnote w:type="continuationNotice" w:id="1">
    <w:p w14:paraId="426DA009" w14:textId="77777777" w:rsidR="0000391B" w:rsidRDefault="00003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DBA2" w14:textId="77777777" w:rsidR="0021354C" w:rsidRDefault="0021354C">
    <w:pPr>
      <w:pStyle w:val="Footer"/>
    </w:pPr>
  </w:p>
  <w:p w14:paraId="299FC113" w14:textId="7B3172E7" w:rsidR="0021354C" w:rsidRPr="00BF405E" w:rsidRDefault="0021354C" w:rsidP="00BF405E">
    <w:pPr>
      <w:pStyle w:val="Paragraphnonumbers"/>
      <w:rPr>
        <w:lang w:val="en-US"/>
      </w:rPr>
    </w:pPr>
    <w:r>
      <w:rPr>
        <w:sz w:val="20"/>
        <w:szCs w:val="20"/>
      </w:rPr>
      <w:t>© NICE 202</w:t>
    </w:r>
    <w:r w:rsidR="00606827">
      <w:rPr>
        <w:sz w:val="20"/>
        <w:szCs w:val="20"/>
      </w:rPr>
      <w:t>4</w:t>
    </w:r>
    <w:r>
      <w:rPr>
        <w:sz w:val="20"/>
        <w:szCs w:val="20"/>
      </w:rPr>
      <w:t xml:space="preserve">. All rights reserved. </w:t>
    </w:r>
    <w:hyperlink r:id="rId1" w:anchor="notice-of-rights" w:history="1">
      <w:r w:rsidRPr="00025653">
        <w:rPr>
          <w:rStyle w:val="Hyperlink"/>
          <w:sz w:val="20"/>
          <w:szCs w:val="20"/>
        </w:rPr>
        <w:t>Subject to Notice of rights.</w:t>
      </w:r>
    </w:hyperlink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F00B8A">
      <w:fldChar w:fldCharType="begin"/>
    </w:r>
    <w:r w:rsidR="00F00B8A">
      <w:instrText xml:space="preserve"> NUMPAGES  </w:instrText>
    </w:r>
    <w:r w:rsidR="00F00B8A">
      <w:fldChar w:fldCharType="separate"/>
    </w:r>
    <w:r>
      <w:rPr>
        <w:noProof/>
      </w:rPr>
      <w:t>1</w:t>
    </w:r>
    <w:r w:rsidR="00F00B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79D9" w14:textId="77777777" w:rsidR="0000391B" w:rsidRDefault="0000391B" w:rsidP="00446BEE">
      <w:r>
        <w:separator/>
      </w:r>
    </w:p>
  </w:footnote>
  <w:footnote w:type="continuationSeparator" w:id="0">
    <w:p w14:paraId="6CE823A0" w14:textId="77777777" w:rsidR="0000391B" w:rsidRDefault="0000391B" w:rsidP="00446BEE">
      <w:r>
        <w:continuationSeparator/>
      </w:r>
    </w:p>
  </w:footnote>
  <w:footnote w:type="continuationNotice" w:id="1">
    <w:p w14:paraId="750F5D39" w14:textId="77777777" w:rsidR="0000391B" w:rsidRDefault="000039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81701BD6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9B04B32"/>
    <w:multiLevelType w:val="hybridMultilevel"/>
    <w:tmpl w:val="95BCBCE4"/>
    <w:lvl w:ilvl="0" w:tplc="EC0AD8CE">
      <w:start w:val="1"/>
      <w:numFmt w:val="decimal"/>
      <w:pStyle w:val="Sectionheading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CC3584"/>
    <w:multiLevelType w:val="multilevel"/>
    <w:tmpl w:val="629C69F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heading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441B7135"/>
    <w:multiLevelType w:val="multilevel"/>
    <w:tmpl w:val="65E8D62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1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4ABD783C"/>
    <w:multiLevelType w:val="hybridMultilevel"/>
    <w:tmpl w:val="6E6C94B4"/>
    <w:lvl w:ilvl="0" w:tplc="DE0CF6EA">
      <w:start w:val="1"/>
      <w:numFmt w:val="upperRoman"/>
      <w:pStyle w:val="Appendixlevel2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70588D"/>
    <w:multiLevelType w:val="hybridMultilevel"/>
    <w:tmpl w:val="B3507E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8F36E6"/>
    <w:multiLevelType w:val="hybridMultilevel"/>
    <w:tmpl w:val="298C3AFA"/>
    <w:lvl w:ilvl="0" w:tplc="DB7CA35E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6" w15:restartNumberingAfterBreak="0">
    <w:nsid w:val="696F2189"/>
    <w:multiLevelType w:val="hybridMultilevel"/>
    <w:tmpl w:val="C57245A2"/>
    <w:lvl w:ilvl="0" w:tplc="D6D67F26">
      <w:start w:val="1"/>
      <w:numFmt w:val="bullet"/>
      <w:pStyle w:val="Bullets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7" w15:restartNumberingAfterBreak="0">
    <w:nsid w:val="765F6245"/>
    <w:multiLevelType w:val="hybridMultilevel"/>
    <w:tmpl w:val="8226756E"/>
    <w:lvl w:ilvl="0" w:tplc="EE7C94EE">
      <w:start w:val="1"/>
      <w:numFmt w:val="bullet"/>
      <w:pStyle w:val="Introtex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691757">
    <w:abstractNumId w:val="16"/>
  </w:num>
  <w:num w:numId="2" w16cid:durableId="275719882">
    <w:abstractNumId w:val="7"/>
  </w:num>
  <w:num w:numId="3" w16cid:durableId="1781412406">
    <w:abstractNumId w:val="3"/>
  </w:num>
  <w:num w:numId="4" w16cid:durableId="65566781">
    <w:abstractNumId w:val="1"/>
  </w:num>
  <w:num w:numId="5" w16cid:durableId="1715345691">
    <w:abstractNumId w:val="13"/>
  </w:num>
  <w:num w:numId="6" w16cid:durableId="33115089">
    <w:abstractNumId w:val="14"/>
  </w:num>
  <w:num w:numId="7" w16cid:durableId="1283726089">
    <w:abstractNumId w:val="8"/>
  </w:num>
  <w:num w:numId="8" w16cid:durableId="1789423489">
    <w:abstractNumId w:val="12"/>
  </w:num>
  <w:num w:numId="9" w16cid:durableId="1866747151">
    <w:abstractNumId w:val="0"/>
  </w:num>
  <w:num w:numId="10" w16cid:durableId="108669234">
    <w:abstractNumId w:val="6"/>
  </w:num>
  <w:num w:numId="11" w16cid:durableId="647124639">
    <w:abstractNumId w:val="10"/>
  </w:num>
  <w:num w:numId="12" w16cid:durableId="1582836527">
    <w:abstractNumId w:val="11"/>
  </w:num>
  <w:num w:numId="13" w16cid:durableId="1562134928">
    <w:abstractNumId w:val="4"/>
  </w:num>
  <w:num w:numId="14" w16cid:durableId="1323660194">
    <w:abstractNumId w:val="5"/>
  </w:num>
  <w:num w:numId="15" w16cid:durableId="1445885437">
    <w:abstractNumId w:val="2"/>
  </w:num>
  <w:num w:numId="16" w16cid:durableId="1111435617">
    <w:abstractNumId w:val="15"/>
  </w:num>
  <w:num w:numId="17" w16cid:durableId="386340679">
    <w:abstractNumId w:val="17"/>
  </w:num>
  <w:num w:numId="18" w16cid:durableId="1724980943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C2"/>
    <w:rsid w:val="0000391B"/>
    <w:rsid w:val="000053F8"/>
    <w:rsid w:val="00007800"/>
    <w:rsid w:val="0001656B"/>
    <w:rsid w:val="00016F2C"/>
    <w:rsid w:val="00024D0A"/>
    <w:rsid w:val="00026F79"/>
    <w:rsid w:val="0002790A"/>
    <w:rsid w:val="0003096D"/>
    <w:rsid w:val="00032466"/>
    <w:rsid w:val="00032EA4"/>
    <w:rsid w:val="00033F15"/>
    <w:rsid w:val="00037035"/>
    <w:rsid w:val="00037565"/>
    <w:rsid w:val="0004130B"/>
    <w:rsid w:val="00043BE9"/>
    <w:rsid w:val="000472DC"/>
    <w:rsid w:val="00063BD5"/>
    <w:rsid w:val="0006598A"/>
    <w:rsid w:val="00066C85"/>
    <w:rsid w:val="00070065"/>
    <w:rsid w:val="00070720"/>
    <w:rsid w:val="000707E7"/>
    <w:rsid w:val="00070DD3"/>
    <w:rsid w:val="00075E86"/>
    <w:rsid w:val="00081FE3"/>
    <w:rsid w:val="00085E83"/>
    <w:rsid w:val="00092848"/>
    <w:rsid w:val="00096864"/>
    <w:rsid w:val="000A4FEE"/>
    <w:rsid w:val="000B15C0"/>
    <w:rsid w:val="000B5588"/>
    <w:rsid w:val="000B5939"/>
    <w:rsid w:val="000B6A5F"/>
    <w:rsid w:val="000B7973"/>
    <w:rsid w:val="000C7032"/>
    <w:rsid w:val="000D01EF"/>
    <w:rsid w:val="000D0416"/>
    <w:rsid w:val="000D1D10"/>
    <w:rsid w:val="000E185D"/>
    <w:rsid w:val="000E291D"/>
    <w:rsid w:val="000E2B7D"/>
    <w:rsid w:val="000E7FDC"/>
    <w:rsid w:val="000F0B94"/>
    <w:rsid w:val="000F7485"/>
    <w:rsid w:val="00102C06"/>
    <w:rsid w:val="001056DA"/>
    <w:rsid w:val="00111CCE"/>
    <w:rsid w:val="001134E7"/>
    <w:rsid w:val="00121298"/>
    <w:rsid w:val="00124B44"/>
    <w:rsid w:val="00125866"/>
    <w:rsid w:val="00126F93"/>
    <w:rsid w:val="00131433"/>
    <w:rsid w:val="001319D2"/>
    <w:rsid w:val="0013440C"/>
    <w:rsid w:val="00134567"/>
    <w:rsid w:val="00141920"/>
    <w:rsid w:val="00143651"/>
    <w:rsid w:val="001457E4"/>
    <w:rsid w:val="00153183"/>
    <w:rsid w:val="0015449E"/>
    <w:rsid w:val="00156116"/>
    <w:rsid w:val="00156B58"/>
    <w:rsid w:val="001643B0"/>
    <w:rsid w:val="00170937"/>
    <w:rsid w:val="0017149E"/>
    <w:rsid w:val="0017169E"/>
    <w:rsid w:val="001723AA"/>
    <w:rsid w:val="00172762"/>
    <w:rsid w:val="001738E5"/>
    <w:rsid w:val="001806F3"/>
    <w:rsid w:val="00181A4A"/>
    <w:rsid w:val="001848F9"/>
    <w:rsid w:val="00187F9C"/>
    <w:rsid w:val="001A4917"/>
    <w:rsid w:val="001B0EE9"/>
    <w:rsid w:val="001B65B3"/>
    <w:rsid w:val="001C1331"/>
    <w:rsid w:val="001C65A9"/>
    <w:rsid w:val="001D013E"/>
    <w:rsid w:val="001D2BF9"/>
    <w:rsid w:val="001D7979"/>
    <w:rsid w:val="001E17FC"/>
    <w:rsid w:val="001F08BB"/>
    <w:rsid w:val="001F5845"/>
    <w:rsid w:val="001F628F"/>
    <w:rsid w:val="0020000F"/>
    <w:rsid w:val="002022A2"/>
    <w:rsid w:val="00202836"/>
    <w:rsid w:val="002029A6"/>
    <w:rsid w:val="002056D3"/>
    <w:rsid w:val="00211652"/>
    <w:rsid w:val="0021354C"/>
    <w:rsid w:val="00217AC7"/>
    <w:rsid w:val="00235E00"/>
    <w:rsid w:val="00237D11"/>
    <w:rsid w:val="002408EA"/>
    <w:rsid w:val="002419BA"/>
    <w:rsid w:val="0024310A"/>
    <w:rsid w:val="0025422F"/>
    <w:rsid w:val="00254B1B"/>
    <w:rsid w:val="002616EF"/>
    <w:rsid w:val="002627AD"/>
    <w:rsid w:val="002668E6"/>
    <w:rsid w:val="002771CF"/>
    <w:rsid w:val="00277FAB"/>
    <w:rsid w:val="002819D7"/>
    <w:rsid w:val="002839FA"/>
    <w:rsid w:val="0028565F"/>
    <w:rsid w:val="002876A9"/>
    <w:rsid w:val="002975AA"/>
    <w:rsid w:val="002A2FD1"/>
    <w:rsid w:val="002A7DEB"/>
    <w:rsid w:val="002B00F9"/>
    <w:rsid w:val="002B1E32"/>
    <w:rsid w:val="002B21F3"/>
    <w:rsid w:val="002C1A7E"/>
    <w:rsid w:val="002C56D0"/>
    <w:rsid w:val="002D2F8F"/>
    <w:rsid w:val="002D3376"/>
    <w:rsid w:val="002D75D5"/>
    <w:rsid w:val="002E39A7"/>
    <w:rsid w:val="002E4571"/>
    <w:rsid w:val="002F00A0"/>
    <w:rsid w:val="00311ED0"/>
    <w:rsid w:val="00316C5A"/>
    <w:rsid w:val="00322A4E"/>
    <w:rsid w:val="00331692"/>
    <w:rsid w:val="00336819"/>
    <w:rsid w:val="003422B1"/>
    <w:rsid w:val="00343066"/>
    <w:rsid w:val="00344897"/>
    <w:rsid w:val="003509C0"/>
    <w:rsid w:val="0036344E"/>
    <w:rsid w:val="003648C5"/>
    <w:rsid w:val="00364B76"/>
    <w:rsid w:val="003722FA"/>
    <w:rsid w:val="003751CC"/>
    <w:rsid w:val="00375571"/>
    <w:rsid w:val="00375906"/>
    <w:rsid w:val="003778B0"/>
    <w:rsid w:val="003818B9"/>
    <w:rsid w:val="003844B5"/>
    <w:rsid w:val="00384B58"/>
    <w:rsid w:val="003B267B"/>
    <w:rsid w:val="003B2A00"/>
    <w:rsid w:val="003B4B1F"/>
    <w:rsid w:val="003C0811"/>
    <w:rsid w:val="003C7AAF"/>
    <w:rsid w:val="003D3D3F"/>
    <w:rsid w:val="003D558F"/>
    <w:rsid w:val="003D7D66"/>
    <w:rsid w:val="003F30D5"/>
    <w:rsid w:val="003F3528"/>
    <w:rsid w:val="00401C8E"/>
    <w:rsid w:val="004066D5"/>
    <w:rsid w:val="00406757"/>
    <w:rsid w:val="004068DA"/>
    <w:rsid w:val="004075B6"/>
    <w:rsid w:val="00407C99"/>
    <w:rsid w:val="00410C81"/>
    <w:rsid w:val="00411B5E"/>
    <w:rsid w:val="00412A80"/>
    <w:rsid w:val="0041746D"/>
    <w:rsid w:val="00420952"/>
    <w:rsid w:val="004229A7"/>
    <w:rsid w:val="00433EFF"/>
    <w:rsid w:val="00434D50"/>
    <w:rsid w:val="0044198E"/>
    <w:rsid w:val="0044258C"/>
    <w:rsid w:val="00443081"/>
    <w:rsid w:val="0044553D"/>
    <w:rsid w:val="00445F39"/>
    <w:rsid w:val="00446BEE"/>
    <w:rsid w:val="00453F81"/>
    <w:rsid w:val="00454422"/>
    <w:rsid w:val="00461A3B"/>
    <w:rsid w:val="00472A51"/>
    <w:rsid w:val="00472DF8"/>
    <w:rsid w:val="00472F6E"/>
    <w:rsid w:val="004758C4"/>
    <w:rsid w:val="00476B3B"/>
    <w:rsid w:val="00480103"/>
    <w:rsid w:val="00482B50"/>
    <w:rsid w:val="0049374A"/>
    <w:rsid w:val="00496B0F"/>
    <w:rsid w:val="004A43B0"/>
    <w:rsid w:val="004B04A6"/>
    <w:rsid w:val="004B4032"/>
    <w:rsid w:val="004C1C70"/>
    <w:rsid w:val="004C374E"/>
    <w:rsid w:val="004C7F8A"/>
    <w:rsid w:val="004D59E2"/>
    <w:rsid w:val="004E2026"/>
    <w:rsid w:val="004F111E"/>
    <w:rsid w:val="005025A1"/>
    <w:rsid w:val="00502CA9"/>
    <w:rsid w:val="00522B17"/>
    <w:rsid w:val="005329C6"/>
    <w:rsid w:val="005335B3"/>
    <w:rsid w:val="0053533C"/>
    <w:rsid w:val="005361B3"/>
    <w:rsid w:val="005408AB"/>
    <w:rsid w:val="00545138"/>
    <w:rsid w:val="00553C99"/>
    <w:rsid w:val="005546DB"/>
    <w:rsid w:val="00556EE7"/>
    <w:rsid w:val="00560C52"/>
    <w:rsid w:val="005633CE"/>
    <w:rsid w:val="0056350F"/>
    <w:rsid w:val="0056434D"/>
    <w:rsid w:val="005700B3"/>
    <w:rsid w:val="00572C40"/>
    <w:rsid w:val="00573AE9"/>
    <w:rsid w:val="00593FA2"/>
    <w:rsid w:val="005B07B7"/>
    <w:rsid w:val="005B138C"/>
    <w:rsid w:val="005B2757"/>
    <w:rsid w:val="005B4B61"/>
    <w:rsid w:val="005B6771"/>
    <w:rsid w:val="005C3501"/>
    <w:rsid w:val="005C69B1"/>
    <w:rsid w:val="005D3466"/>
    <w:rsid w:val="005F2A6F"/>
    <w:rsid w:val="005F485C"/>
    <w:rsid w:val="005F6C66"/>
    <w:rsid w:val="0060123D"/>
    <w:rsid w:val="00606827"/>
    <w:rsid w:val="0061184E"/>
    <w:rsid w:val="00615882"/>
    <w:rsid w:val="0062085D"/>
    <w:rsid w:val="0062131B"/>
    <w:rsid w:val="00622642"/>
    <w:rsid w:val="006278DB"/>
    <w:rsid w:val="00652B10"/>
    <w:rsid w:val="00654AFE"/>
    <w:rsid w:val="00655D4F"/>
    <w:rsid w:val="00660A02"/>
    <w:rsid w:val="0066311E"/>
    <w:rsid w:val="0067045E"/>
    <w:rsid w:val="00673316"/>
    <w:rsid w:val="0067405F"/>
    <w:rsid w:val="006757C7"/>
    <w:rsid w:val="006830E8"/>
    <w:rsid w:val="006843E6"/>
    <w:rsid w:val="006921E1"/>
    <w:rsid w:val="006A2428"/>
    <w:rsid w:val="006A4C11"/>
    <w:rsid w:val="006B05B4"/>
    <w:rsid w:val="006B0BAB"/>
    <w:rsid w:val="006B15CA"/>
    <w:rsid w:val="006B748A"/>
    <w:rsid w:val="006C0772"/>
    <w:rsid w:val="006C201D"/>
    <w:rsid w:val="006D14B1"/>
    <w:rsid w:val="006D1E4A"/>
    <w:rsid w:val="006E676A"/>
    <w:rsid w:val="006F3F51"/>
    <w:rsid w:val="006F4B25"/>
    <w:rsid w:val="006F6496"/>
    <w:rsid w:val="006F760E"/>
    <w:rsid w:val="00702A26"/>
    <w:rsid w:val="0070366A"/>
    <w:rsid w:val="00704725"/>
    <w:rsid w:val="007123F8"/>
    <w:rsid w:val="00716979"/>
    <w:rsid w:val="00720878"/>
    <w:rsid w:val="007229AA"/>
    <w:rsid w:val="00727484"/>
    <w:rsid w:val="0073185E"/>
    <w:rsid w:val="00734CF9"/>
    <w:rsid w:val="00736348"/>
    <w:rsid w:val="007376B1"/>
    <w:rsid w:val="00744718"/>
    <w:rsid w:val="007526A5"/>
    <w:rsid w:val="00754DA7"/>
    <w:rsid w:val="00760908"/>
    <w:rsid w:val="007668FB"/>
    <w:rsid w:val="00770A0B"/>
    <w:rsid w:val="00775949"/>
    <w:rsid w:val="007779F1"/>
    <w:rsid w:val="007817C8"/>
    <w:rsid w:val="0078642D"/>
    <w:rsid w:val="00791112"/>
    <w:rsid w:val="007938C6"/>
    <w:rsid w:val="00795796"/>
    <w:rsid w:val="007A1289"/>
    <w:rsid w:val="007A3264"/>
    <w:rsid w:val="007B152D"/>
    <w:rsid w:val="007B16C7"/>
    <w:rsid w:val="007B1846"/>
    <w:rsid w:val="007B3861"/>
    <w:rsid w:val="007B4399"/>
    <w:rsid w:val="007B572F"/>
    <w:rsid w:val="007D1C3B"/>
    <w:rsid w:val="007D25C5"/>
    <w:rsid w:val="007D7092"/>
    <w:rsid w:val="007D75EF"/>
    <w:rsid w:val="007E1E33"/>
    <w:rsid w:val="007E4483"/>
    <w:rsid w:val="007F081C"/>
    <w:rsid w:val="007F238D"/>
    <w:rsid w:val="00802AF6"/>
    <w:rsid w:val="00802FAC"/>
    <w:rsid w:val="00816BC6"/>
    <w:rsid w:val="008171D2"/>
    <w:rsid w:val="008203DA"/>
    <w:rsid w:val="0082151C"/>
    <w:rsid w:val="00842D7A"/>
    <w:rsid w:val="00844248"/>
    <w:rsid w:val="0084669A"/>
    <w:rsid w:val="00851DD9"/>
    <w:rsid w:val="00861B92"/>
    <w:rsid w:val="0087287E"/>
    <w:rsid w:val="0088045F"/>
    <w:rsid w:val="00880606"/>
    <w:rsid w:val="00881034"/>
    <w:rsid w:val="008814FB"/>
    <w:rsid w:val="00887A77"/>
    <w:rsid w:val="00893D34"/>
    <w:rsid w:val="00896463"/>
    <w:rsid w:val="00896EBF"/>
    <w:rsid w:val="008A5653"/>
    <w:rsid w:val="008B2281"/>
    <w:rsid w:val="008B6339"/>
    <w:rsid w:val="008B6993"/>
    <w:rsid w:val="008B6ECC"/>
    <w:rsid w:val="008C1624"/>
    <w:rsid w:val="008C441F"/>
    <w:rsid w:val="008C4C08"/>
    <w:rsid w:val="008D4B3C"/>
    <w:rsid w:val="008E0A3D"/>
    <w:rsid w:val="008F5E30"/>
    <w:rsid w:val="008F6FA4"/>
    <w:rsid w:val="009057B5"/>
    <w:rsid w:val="00910196"/>
    <w:rsid w:val="00912D46"/>
    <w:rsid w:val="00914D7F"/>
    <w:rsid w:val="009203B6"/>
    <w:rsid w:val="00924598"/>
    <w:rsid w:val="00927673"/>
    <w:rsid w:val="00931E7B"/>
    <w:rsid w:val="00935516"/>
    <w:rsid w:val="009363A3"/>
    <w:rsid w:val="00944C77"/>
    <w:rsid w:val="009565C1"/>
    <w:rsid w:val="00956E19"/>
    <w:rsid w:val="00961076"/>
    <w:rsid w:val="0097160B"/>
    <w:rsid w:val="00972682"/>
    <w:rsid w:val="00972FA8"/>
    <w:rsid w:val="00981B10"/>
    <w:rsid w:val="0098211D"/>
    <w:rsid w:val="0098593F"/>
    <w:rsid w:val="009923EE"/>
    <w:rsid w:val="009929DC"/>
    <w:rsid w:val="009937C4"/>
    <w:rsid w:val="00995168"/>
    <w:rsid w:val="009A0EEF"/>
    <w:rsid w:val="009A3D36"/>
    <w:rsid w:val="009A5544"/>
    <w:rsid w:val="009A7982"/>
    <w:rsid w:val="009B42D0"/>
    <w:rsid w:val="009D1651"/>
    <w:rsid w:val="009D1B94"/>
    <w:rsid w:val="009D315D"/>
    <w:rsid w:val="009D6163"/>
    <w:rsid w:val="009E12B0"/>
    <w:rsid w:val="009E173C"/>
    <w:rsid w:val="009E4096"/>
    <w:rsid w:val="009E680B"/>
    <w:rsid w:val="009F223B"/>
    <w:rsid w:val="009F5D2C"/>
    <w:rsid w:val="00A00777"/>
    <w:rsid w:val="00A01E60"/>
    <w:rsid w:val="00A02827"/>
    <w:rsid w:val="00A03AB1"/>
    <w:rsid w:val="00A043B8"/>
    <w:rsid w:val="00A15A1F"/>
    <w:rsid w:val="00A25B77"/>
    <w:rsid w:val="00A30CC2"/>
    <w:rsid w:val="00A30E7D"/>
    <w:rsid w:val="00A3225D"/>
    <w:rsid w:val="00A3315F"/>
    <w:rsid w:val="00A3325A"/>
    <w:rsid w:val="00A356B2"/>
    <w:rsid w:val="00A37E85"/>
    <w:rsid w:val="00A40AAD"/>
    <w:rsid w:val="00A4265E"/>
    <w:rsid w:val="00A43013"/>
    <w:rsid w:val="00A443B8"/>
    <w:rsid w:val="00A44F61"/>
    <w:rsid w:val="00A50494"/>
    <w:rsid w:val="00A50D6B"/>
    <w:rsid w:val="00A53C34"/>
    <w:rsid w:val="00A60BFC"/>
    <w:rsid w:val="00A631A4"/>
    <w:rsid w:val="00A63C91"/>
    <w:rsid w:val="00A67B1A"/>
    <w:rsid w:val="00A72170"/>
    <w:rsid w:val="00A75474"/>
    <w:rsid w:val="00A82BDB"/>
    <w:rsid w:val="00A84562"/>
    <w:rsid w:val="00A90FF2"/>
    <w:rsid w:val="00AA4590"/>
    <w:rsid w:val="00AB163F"/>
    <w:rsid w:val="00AD06E6"/>
    <w:rsid w:val="00AD3BA8"/>
    <w:rsid w:val="00AE38B7"/>
    <w:rsid w:val="00AE4DDF"/>
    <w:rsid w:val="00AF108A"/>
    <w:rsid w:val="00AF5C47"/>
    <w:rsid w:val="00B02E55"/>
    <w:rsid w:val="00B036C1"/>
    <w:rsid w:val="00B05B46"/>
    <w:rsid w:val="00B07DD8"/>
    <w:rsid w:val="00B12207"/>
    <w:rsid w:val="00B1651D"/>
    <w:rsid w:val="00B2148F"/>
    <w:rsid w:val="00B302E5"/>
    <w:rsid w:val="00B365D3"/>
    <w:rsid w:val="00B37498"/>
    <w:rsid w:val="00B37A93"/>
    <w:rsid w:val="00B42048"/>
    <w:rsid w:val="00B451EC"/>
    <w:rsid w:val="00B46E4D"/>
    <w:rsid w:val="00B5431F"/>
    <w:rsid w:val="00B54EAA"/>
    <w:rsid w:val="00B57C17"/>
    <w:rsid w:val="00B600F6"/>
    <w:rsid w:val="00B60BAD"/>
    <w:rsid w:val="00B6658C"/>
    <w:rsid w:val="00B679E9"/>
    <w:rsid w:val="00B701CE"/>
    <w:rsid w:val="00B72E62"/>
    <w:rsid w:val="00B805A1"/>
    <w:rsid w:val="00B81431"/>
    <w:rsid w:val="00B84303"/>
    <w:rsid w:val="00B850ED"/>
    <w:rsid w:val="00B92CD7"/>
    <w:rsid w:val="00BA2D53"/>
    <w:rsid w:val="00BA5224"/>
    <w:rsid w:val="00BA6539"/>
    <w:rsid w:val="00BA6BBF"/>
    <w:rsid w:val="00BA72ED"/>
    <w:rsid w:val="00BB3947"/>
    <w:rsid w:val="00BB52B5"/>
    <w:rsid w:val="00BC48CE"/>
    <w:rsid w:val="00BD03D3"/>
    <w:rsid w:val="00BE2222"/>
    <w:rsid w:val="00BE4267"/>
    <w:rsid w:val="00BE5EA4"/>
    <w:rsid w:val="00BF405E"/>
    <w:rsid w:val="00BF7284"/>
    <w:rsid w:val="00BF7FE0"/>
    <w:rsid w:val="00C07CFA"/>
    <w:rsid w:val="00C11AC7"/>
    <w:rsid w:val="00C11BB6"/>
    <w:rsid w:val="00C31A8A"/>
    <w:rsid w:val="00C40FB5"/>
    <w:rsid w:val="00C41D7B"/>
    <w:rsid w:val="00C46753"/>
    <w:rsid w:val="00C57DEC"/>
    <w:rsid w:val="00C60935"/>
    <w:rsid w:val="00C62DD7"/>
    <w:rsid w:val="00C660AC"/>
    <w:rsid w:val="00C67E0E"/>
    <w:rsid w:val="00C75747"/>
    <w:rsid w:val="00C81104"/>
    <w:rsid w:val="00C81CC3"/>
    <w:rsid w:val="00C856C4"/>
    <w:rsid w:val="00C8693F"/>
    <w:rsid w:val="00C909FA"/>
    <w:rsid w:val="00C916A7"/>
    <w:rsid w:val="00C92F59"/>
    <w:rsid w:val="00C94BA0"/>
    <w:rsid w:val="00C95468"/>
    <w:rsid w:val="00C96411"/>
    <w:rsid w:val="00C97226"/>
    <w:rsid w:val="00CA0DAE"/>
    <w:rsid w:val="00CA7A03"/>
    <w:rsid w:val="00CA7EB5"/>
    <w:rsid w:val="00CB3CE7"/>
    <w:rsid w:val="00CB4574"/>
    <w:rsid w:val="00CB5671"/>
    <w:rsid w:val="00CC004B"/>
    <w:rsid w:val="00CC21A7"/>
    <w:rsid w:val="00CE515F"/>
    <w:rsid w:val="00CE67A5"/>
    <w:rsid w:val="00CE71FE"/>
    <w:rsid w:val="00CF58B7"/>
    <w:rsid w:val="00CF5F47"/>
    <w:rsid w:val="00D00D63"/>
    <w:rsid w:val="00D031A6"/>
    <w:rsid w:val="00D03DEA"/>
    <w:rsid w:val="00D05336"/>
    <w:rsid w:val="00D0749B"/>
    <w:rsid w:val="00D171FA"/>
    <w:rsid w:val="00D3237D"/>
    <w:rsid w:val="00D32BA2"/>
    <w:rsid w:val="00D351C1"/>
    <w:rsid w:val="00D35EFB"/>
    <w:rsid w:val="00D37B19"/>
    <w:rsid w:val="00D412BF"/>
    <w:rsid w:val="00D42DDC"/>
    <w:rsid w:val="00D45380"/>
    <w:rsid w:val="00D504B3"/>
    <w:rsid w:val="00D71376"/>
    <w:rsid w:val="00D77176"/>
    <w:rsid w:val="00D80F9B"/>
    <w:rsid w:val="00D843C3"/>
    <w:rsid w:val="00D8694B"/>
    <w:rsid w:val="00D86BF0"/>
    <w:rsid w:val="00D87094"/>
    <w:rsid w:val="00D9248D"/>
    <w:rsid w:val="00D95F46"/>
    <w:rsid w:val="00DA2CBB"/>
    <w:rsid w:val="00DA4D10"/>
    <w:rsid w:val="00DA5A91"/>
    <w:rsid w:val="00DA78D2"/>
    <w:rsid w:val="00DC1927"/>
    <w:rsid w:val="00DC745D"/>
    <w:rsid w:val="00DD457F"/>
    <w:rsid w:val="00DD5D59"/>
    <w:rsid w:val="00DE1EBD"/>
    <w:rsid w:val="00DE2E04"/>
    <w:rsid w:val="00DE3DBE"/>
    <w:rsid w:val="00DE6712"/>
    <w:rsid w:val="00DE7D43"/>
    <w:rsid w:val="00DF04F2"/>
    <w:rsid w:val="00DF44D1"/>
    <w:rsid w:val="00E07D67"/>
    <w:rsid w:val="00E13166"/>
    <w:rsid w:val="00E14DE6"/>
    <w:rsid w:val="00E20BD3"/>
    <w:rsid w:val="00E22111"/>
    <w:rsid w:val="00E333C3"/>
    <w:rsid w:val="00E3745D"/>
    <w:rsid w:val="00E40386"/>
    <w:rsid w:val="00E4261C"/>
    <w:rsid w:val="00E42E9A"/>
    <w:rsid w:val="00E46B23"/>
    <w:rsid w:val="00E47978"/>
    <w:rsid w:val="00E51920"/>
    <w:rsid w:val="00E53424"/>
    <w:rsid w:val="00E5413B"/>
    <w:rsid w:val="00E60559"/>
    <w:rsid w:val="00E6163F"/>
    <w:rsid w:val="00E64120"/>
    <w:rsid w:val="00E660A1"/>
    <w:rsid w:val="00E70710"/>
    <w:rsid w:val="00E859DC"/>
    <w:rsid w:val="00E93065"/>
    <w:rsid w:val="00E94651"/>
    <w:rsid w:val="00E97AA3"/>
    <w:rsid w:val="00EA1F59"/>
    <w:rsid w:val="00EA271C"/>
    <w:rsid w:val="00EA3CCF"/>
    <w:rsid w:val="00EB315D"/>
    <w:rsid w:val="00EB3266"/>
    <w:rsid w:val="00ED2448"/>
    <w:rsid w:val="00ED2B2F"/>
    <w:rsid w:val="00EE0839"/>
    <w:rsid w:val="00EE7DF0"/>
    <w:rsid w:val="00EF0E17"/>
    <w:rsid w:val="00EF2B63"/>
    <w:rsid w:val="00EF3AF9"/>
    <w:rsid w:val="00EF3D38"/>
    <w:rsid w:val="00F00B8A"/>
    <w:rsid w:val="00F00BB8"/>
    <w:rsid w:val="00F0377E"/>
    <w:rsid w:val="00F055F1"/>
    <w:rsid w:val="00F135BE"/>
    <w:rsid w:val="00F23A8B"/>
    <w:rsid w:val="00F24C83"/>
    <w:rsid w:val="00F314A1"/>
    <w:rsid w:val="00F326FA"/>
    <w:rsid w:val="00F3271E"/>
    <w:rsid w:val="00F33E0E"/>
    <w:rsid w:val="00F405B4"/>
    <w:rsid w:val="00F41069"/>
    <w:rsid w:val="00F465D0"/>
    <w:rsid w:val="00F4768C"/>
    <w:rsid w:val="00F50F43"/>
    <w:rsid w:val="00F54B78"/>
    <w:rsid w:val="00F57DA3"/>
    <w:rsid w:val="00F610AF"/>
    <w:rsid w:val="00F62CF4"/>
    <w:rsid w:val="00F63654"/>
    <w:rsid w:val="00F66FC8"/>
    <w:rsid w:val="00F827FB"/>
    <w:rsid w:val="00F85A74"/>
    <w:rsid w:val="00F9495F"/>
    <w:rsid w:val="00F953D5"/>
    <w:rsid w:val="00F956B8"/>
    <w:rsid w:val="00FA049B"/>
    <w:rsid w:val="00FA2C5A"/>
    <w:rsid w:val="00FA3C67"/>
    <w:rsid w:val="00FA450B"/>
    <w:rsid w:val="00FC0886"/>
    <w:rsid w:val="00FC2C98"/>
    <w:rsid w:val="00FC2D11"/>
    <w:rsid w:val="00FC3FDB"/>
    <w:rsid w:val="00FC6230"/>
    <w:rsid w:val="00FD23FA"/>
    <w:rsid w:val="00FE2C36"/>
    <w:rsid w:val="00FE6C55"/>
    <w:rsid w:val="00FF02B2"/>
    <w:rsid w:val="00FF2A39"/>
    <w:rsid w:val="00FF2FA7"/>
    <w:rsid w:val="00FF61E7"/>
    <w:rsid w:val="0373137E"/>
    <w:rsid w:val="07B40A8B"/>
    <w:rsid w:val="0B1AE919"/>
    <w:rsid w:val="0DA29B8B"/>
    <w:rsid w:val="0EDDC36F"/>
    <w:rsid w:val="130E275C"/>
    <w:rsid w:val="143051B6"/>
    <w:rsid w:val="149295C8"/>
    <w:rsid w:val="15A4AB1C"/>
    <w:rsid w:val="1C401FD9"/>
    <w:rsid w:val="1ED8055A"/>
    <w:rsid w:val="228A1E90"/>
    <w:rsid w:val="27055FF8"/>
    <w:rsid w:val="2BE41D5C"/>
    <w:rsid w:val="2F3159AB"/>
    <w:rsid w:val="30176D9C"/>
    <w:rsid w:val="30E65269"/>
    <w:rsid w:val="3156C069"/>
    <w:rsid w:val="315BADFF"/>
    <w:rsid w:val="31945424"/>
    <w:rsid w:val="3233AABE"/>
    <w:rsid w:val="348367E7"/>
    <w:rsid w:val="399746AD"/>
    <w:rsid w:val="3C068E67"/>
    <w:rsid w:val="407E70EF"/>
    <w:rsid w:val="421E5FC3"/>
    <w:rsid w:val="422A1B61"/>
    <w:rsid w:val="4BAB5E57"/>
    <w:rsid w:val="4C3B53FE"/>
    <w:rsid w:val="4CD26EA1"/>
    <w:rsid w:val="4FBD039F"/>
    <w:rsid w:val="534834AE"/>
    <w:rsid w:val="536983A3"/>
    <w:rsid w:val="54386870"/>
    <w:rsid w:val="58BCCA0F"/>
    <w:rsid w:val="5B092CDC"/>
    <w:rsid w:val="67EDA431"/>
    <w:rsid w:val="6857DDED"/>
    <w:rsid w:val="69AC570B"/>
    <w:rsid w:val="6B60316E"/>
    <w:rsid w:val="6FBC1154"/>
    <w:rsid w:val="7132793D"/>
    <w:rsid w:val="75FD2666"/>
    <w:rsid w:val="7CB688DD"/>
    <w:rsid w:val="7E4B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C3A7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163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9D6163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ICEnormal"/>
    <w:link w:val="Heading2Char"/>
    <w:qFormat/>
    <w:rsid w:val="009D6163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9D6163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link w:val="Heading4Char"/>
    <w:qFormat/>
    <w:rsid w:val="009D6163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3"/>
      </w:numPr>
      <w:tabs>
        <w:tab w:val="left" w:pos="567"/>
      </w:tabs>
    </w:pPr>
  </w:style>
  <w:style w:type="paragraph" w:styleId="Title">
    <w:name w:val="Title"/>
    <w:basedOn w:val="Normal"/>
    <w:next w:val="NICEnormal"/>
    <w:link w:val="TitleChar"/>
    <w:qFormat/>
    <w:rsid w:val="009D6163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TitleChar">
    <w:name w:val="Title Char"/>
    <w:link w:val="Title"/>
    <w:rsid w:val="00CB5671"/>
    <w:rPr>
      <w:rFonts w:ascii="Arial" w:hAnsi="Arial" w:cs="Arial"/>
      <w:b/>
      <w:bCs/>
      <w:kern w:val="28"/>
      <w:sz w:val="40"/>
      <w:szCs w:val="32"/>
      <w:lang w:eastAsia="en-US"/>
    </w:rPr>
  </w:style>
  <w:style w:type="character" w:customStyle="1" w:styleId="Heading1Char">
    <w:name w:val="Heading 1 Char"/>
    <w:link w:val="Heading1"/>
    <w:rsid w:val="009D616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Bullets">
    <w:name w:val="Bullets"/>
    <w:basedOn w:val="Normal"/>
    <w:uiPriority w:val="5"/>
    <w:qFormat/>
    <w:rsid w:val="009937C4"/>
    <w:pPr>
      <w:numPr>
        <w:numId w:val="1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ICEnormalsinglespacing"/>
    <w:link w:val="HeaderChar"/>
    <w:rsid w:val="009D616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E680B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ICEnormalsinglespacing"/>
    <w:link w:val="FooterChar"/>
    <w:rsid w:val="009D616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7169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9D6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9D6163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CB5671"/>
    <w:rPr>
      <w:rFonts w:ascii="Arial" w:hAnsi="Arial" w:cs="Arial"/>
      <w:b/>
      <w:bCs/>
      <w:sz w:val="24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2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8C1624"/>
    <w:rPr>
      <w:color w:val="808080"/>
    </w:rPr>
  </w:style>
  <w:style w:type="character" w:styleId="CommentReference">
    <w:name w:val="annotation reference"/>
    <w:semiHidden/>
    <w:rsid w:val="009D61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16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9D6163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6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1624"/>
    <w:rPr>
      <w:b/>
      <w:bCs/>
      <w:lang w:val="x-none" w:eastAsia="en-US"/>
    </w:rPr>
  </w:style>
  <w:style w:type="table" w:styleId="TableGrid">
    <w:name w:val="Table Grid"/>
    <w:basedOn w:val="TableNormal"/>
    <w:rsid w:val="008C1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basedOn w:val="ListParagraph"/>
    <w:rsid w:val="0053533C"/>
    <w:pPr>
      <w:numPr>
        <w:numId w:val="4"/>
      </w:numPr>
      <w:tabs>
        <w:tab w:val="num" w:pos="360"/>
      </w:tabs>
      <w:spacing w:before="360" w:after="120"/>
      <w:ind w:left="720" w:firstLine="0"/>
    </w:pPr>
    <w:rPr>
      <w:rFonts w:ascii="Arial" w:hAnsi="Arial"/>
      <w:b/>
      <w:bCs/>
      <w:szCs w:val="20"/>
    </w:rPr>
  </w:style>
  <w:style w:type="paragraph" w:styleId="ListParagraph">
    <w:name w:val="List Paragraph"/>
    <w:basedOn w:val="Normal"/>
    <w:uiPriority w:val="34"/>
    <w:semiHidden/>
    <w:qFormat/>
    <w:rsid w:val="0053533C"/>
    <w:pPr>
      <w:ind w:left="720"/>
      <w:contextualSpacing/>
    </w:pPr>
  </w:style>
  <w:style w:type="character" w:styleId="Hyperlink">
    <w:name w:val="Hyperlink"/>
    <w:rsid w:val="009D616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937C4"/>
    <w:pPr>
      <w:spacing w:after="240"/>
    </w:pPr>
    <w:rPr>
      <w:rFonts w:ascii="Arial" w:hAnsi="Arial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9937C4"/>
    <w:rPr>
      <w:rFonts w:ascii="Arial" w:hAnsi="Arial"/>
      <w:lang w:val="x-none" w:eastAsia="en-US"/>
    </w:rPr>
  </w:style>
  <w:style w:type="character" w:styleId="FootnoteReference">
    <w:name w:val="footnote reference"/>
    <w:rsid w:val="009937C4"/>
    <w:rPr>
      <w:vertAlign w:val="superscript"/>
    </w:rPr>
  </w:style>
  <w:style w:type="character" w:styleId="FollowedHyperlink">
    <w:name w:val="FollowedHyperlink"/>
    <w:rsid w:val="009D6163"/>
    <w:rPr>
      <w:color w:val="800080"/>
      <w:u w:val="single"/>
    </w:rPr>
  </w:style>
  <w:style w:type="paragraph" w:customStyle="1" w:styleId="Heading1numbered">
    <w:name w:val="Heading 1 numbered"/>
    <w:basedOn w:val="Heading1"/>
    <w:link w:val="Heading1numberedChar"/>
    <w:qFormat/>
    <w:rsid w:val="003844B5"/>
  </w:style>
  <w:style w:type="character" w:customStyle="1" w:styleId="Heading1numberedChar">
    <w:name w:val="Heading 1 numbered Char"/>
    <w:basedOn w:val="Heading1Char"/>
    <w:link w:val="Heading1numbered"/>
    <w:rsid w:val="003844B5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9859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88045F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D6163"/>
    <w:rPr>
      <w:color w:val="605E5C"/>
      <w:shd w:val="clear" w:color="auto" w:fill="E1DFDD"/>
    </w:rPr>
  </w:style>
  <w:style w:type="paragraph" w:customStyle="1" w:styleId="NICEnormal">
    <w:name w:val="NICE normal"/>
    <w:link w:val="NICEnormalChar"/>
    <w:rsid w:val="009D6163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9D6163"/>
    <w:rPr>
      <w:rFonts w:ascii="Arial" w:hAnsi="Arial"/>
      <w:sz w:val="24"/>
      <w:szCs w:val="24"/>
      <w:lang w:eastAsia="en-US"/>
    </w:rPr>
  </w:style>
  <w:style w:type="paragraph" w:customStyle="1" w:styleId="Appendixbullet">
    <w:name w:val="Appendix bullet"/>
    <w:basedOn w:val="NICEnormal"/>
    <w:link w:val="AppendixbulletChar"/>
    <w:rsid w:val="009D6163"/>
    <w:pPr>
      <w:numPr>
        <w:numId w:val="6"/>
      </w:numPr>
      <w:spacing w:after="0" w:line="240" w:lineRule="auto"/>
    </w:pPr>
  </w:style>
  <w:style w:type="character" w:customStyle="1" w:styleId="AppendixbulletChar">
    <w:name w:val="Appendix bullet Char"/>
    <w:link w:val="Appendixbullet"/>
    <w:rsid w:val="009D6163"/>
    <w:rPr>
      <w:rFonts w:ascii="Arial" w:hAnsi="Arial"/>
      <w:sz w:val="24"/>
      <w:szCs w:val="24"/>
      <w:lang w:eastAsia="en-US"/>
    </w:rPr>
  </w:style>
  <w:style w:type="paragraph" w:customStyle="1" w:styleId="Appendixindent">
    <w:name w:val="Appendix indent"/>
    <w:basedOn w:val="NICEnormal"/>
    <w:rsid w:val="009D6163"/>
    <w:pPr>
      <w:ind w:left="567"/>
    </w:pPr>
  </w:style>
  <w:style w:type="paragraph" w:customStyle="1" w:styleId="Appendixlevel1">
    <w:name w:val="Appendix level 1"/>
    <w:basedOn w:val="NICEnormal"/>
    <w:autoRedefine/>
    <w:rsid w:val="009D6163"/>
    <w:pPr>
      <w:numPr>
        <w:numId w:val="7"/>
      </w:numPr>
      <w:spacing w:before="240"/>
    </w:pPr>
  </w:style>
  <w:style w:type="paragraph" w:customStyle="1" w:styleId="Appendixlevel2">
    <w:name w:val="Appendix level 2"/>
    <w:basedOn w:val="NICEnormal"/>
    <w:rsid w:val="009D6163"/>
    <w:pPr>
      <w:numPr>
        <w:numId w:val="8"/>
      </w:numPr>
      <w:spacing w:before="240"/>
    </w:pPr>
  </w:style>
  <w:style w:type="paragraph" w:customStyle="1" w:styleId="Appendixreferences">
    <w:name w:val="Appendix references"/>
    <w:basedOn w:val="NICEnormal"/>
    <w:rsid w:val="009D6163"/>
    <w:pPr>
      <w:tabs>
        <w:tab w:val="left" w:pos="567"/>
      </w:tabs>
      <w:spacing w:after="120"/>
      <w:ind w:left="567"/>
    </w:pPr>
  </w:style>
  <w:style w:type="paragraph" w:customStyle="1" w:styleId="boxedtext">
    <w:name w:val="boxed text"/>
    <w:basedOn w:val="NICEnormal"/>
    <w:rsid w:val="009D61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Bulletindent1">
    <w:name w:val="Bullet indent 1"/>
    <w:basedOn w:val="NICEnormal"/>
    <w:link w:val="Bulletindent1Char"/>
    <w:rsid w:val="009D6163"/>
    <w:pPr>
      <w:numPr>
        <w:numId w:val="9"/>
      </w:numPr>
      <w:spacing w:after="0"/>
    </w:pPr>
  </w:style>
  <w:style w:type="character" w:customStyle="1" w:styleId="Bulletindent1Char">
    <w:name w:val="Bullet indent 1 Char"/>
    <w:link w:val="Bulletindent1"/>
    <w:rsid w:val="009D6163"/>
    <w:rPr>
      <w:rFonts w:ascii="Arial" w:hAnsi="Arial"/>
      <w:sz w:val="24"/>
      <w:szCs w:val="24"/>
      <w:lang w:eastAsia="en-US"/>
    </w:rPr>
  </w:style>
  <w:style w:type="paragraph" w:customStyle="1" w:styleId="Bulletindent1last">
    <w:name w:val="Bullet indent 1 last"/>
    <w:basedOn w:val="NICEnormal"/>
    <w:next w:val="NICEnormal"/>
    <w:rsid w:val="009D6163"/>
    <w:pPr>
      <w:numPr>
        <w:numId w:val="10"/>
      </w:numPr>
    </w:pPr>
  </w:style>
  <w:style w:type="paragraph" w:customStyle="1" w:styleId="Bulletindent2">
    <w:name w:val="Bullet indent 2"/>
    <w:basedOn w:val="NICEnormal"/>
    <w:rsid w:val="009D6163"/>
    <w:pPr>
      <w:numPr>
        <w:ilvl w:val="1"/>
        <w:numId w:val="11"/>
      </w:numPr>
      <w:spacing w:after="0"/>
    </w:pPr>
  </w:style>
  <w:style w:type="paragraph" w:customStyle="1" w:styleId="Bulletindent3">
    <w:name w:val="Bullet indent 3"/>
    <w:basedOn w:val="NICEnormal"/>
    <w:rsid w:val="009D6163"/>
    <w:pPr>
      <w:numPr>
        <w:ilvl w:val="2"/>
        <w:numId w:val="12"/>
      </w:numPr>
      <w:spacing w:after="0"/>
    </w:pPr>
  </w:style>
  <w:style w:type="paragraph" w:customStyle="1" w:styleId="Bulletleft1">
    <w:name w:val="Bullet left 1"/>
    <w:basedOn w:val="NICEnormal"/>
    <w:rsid w:val="009D6163"/>
    <w:pPr>
      <w:numPr>
        <w:numId w:val="13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rsid w:val="009D6163"/>
    <w:pPr>
      <w:numPr>
        <w:numId w:val="14"/>
      </w:numPr>
    </w:pPr>
    <w:rPr>
      <w:rFonts w:cs="Arial"/>
    </w:rPr>
  </w:style>
  <w:style w:type="character" w:customStyle="1" w:styleId="Bulletleft1lastChar">
    <w:name w:val="Bullet left 1 last Char"/>
    <w:link w:val="Bulletleft1last"/>
    <w:rsid w:val="009D6163"/>
    <w:rPr>
      <w:rFonts w:ascii="Arial" w:hAnsi="Arial" w:cs="Arial"/>
      <w:sz w:val="24"/>
      <w:szCs w:val="24"/>
      <w:lang w:eastAsia="en-US"/>
    </w:rPr>
  </w:style>
  <w:style w:type="paragraph" w:customStyle="1" w:styleId="Bulletleft2">
    <w:name w:val="Bullet left 2"/>
    <w:basedOn w:val="NICEnormal"/>
    <w:rsid w:val="009D6163"/>
    <w:pPr>
      <w:numPr>
        <w:ilvl w:val="1"/>
        <w:numId w:val="15"/>
      </w:numPr>
      <w:spacing w:after="0"/>
    </w:pPr>
  </w:style>
  <w:style w:type="paragraph" w:customStyle="1" w:styleId="Bulletleft3">
    <w:name w:val="Bullet left 3"/>
    <w:basedOn w:val="NICEnormal"/>
    <w:rsid w:val="009D6163"/>
    <w:pPr>
      <w:numPr>
        <w:ilvl w:val="2"/>
        <w:numId w:val="16"/>
      </w:numPr>
      <w:spacing w:after="0"/>
    </w:pPr>
  </w:style>
  <w:style w:type="paragraph" w:customStyle="1" w:styleId="Default">
    <w:name w:val="Default"/>
    <w:rsid w:val="009D61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cumentissuedate">
    <w:name w:val="Document issue date"/>
    <w:basedOn w:val="NICEnormal"/>
    <w:qFormat/>
    <w:rsid w:val="009D6163"/>
    <w:rPr>
      <w:lang w:val="en-US"/>
    </w:rPr>
  </w:style>
  <w:style w:type="paragraph" w:customStyle="1" w:styleId="NICEnormalsinglespacing">
    <w:name w:val="NICE normal single spacing"/>
    <w:basedOn w:val="NICEnormal"/>
    <w:rsid w:val="009D6163"/>
    <w:pPr>
      <w:spacing w:line="240" w:lineRule="auto"/>
    </w:pPr>
  </w:style>
  <w:style w:type="paragraph" w:customStyle="1" w:styleId="Guidanceissuedate">
    <w:name w:val="Guidance issue date"/>
    <w:basedOn w:val="NICEnormal"/>
    <w:qFormat/>
    <w:rsid w:val="009D6163"/>
    <w:rPr>
      <w:lang w:val="en-US"/>
    </w:rPr>
  </w:style>
  <w:style w:type="character" w:customStyle="1" w:styleId="Heading4Char">
    <w:name w:val="Heading 4 Char"/>
    <w:basedOn w:val="DefaultParagraphFont"/>
    <w:link w:val="Heading4"/>
    <w:rsid w:val="009D6163"/>
    <w:rPr>
      <w:rFonts w:ascii="Arial" w:hAnsi="Arial"/>
      <w:b/>
      <w:bCs/>
      <w:i/>
      <w:sz w:val="24"/>
      <w:szCs w:val="28"/>
      <w:lang w:eastAsia="en-US"/>
    </w:rPr>
  </w:style>
  <w:style w:type="paragraph" w:customStyle="1" w:styleId="Introtext">
    <w:name w:val="Intro text"/>
    <w:basedOn w:val="NICEnormalsinglespacing"/>
    <w:rsid w:val="009D61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Introtextbullet">
    <w:name w:val="Intro text bullet"/>
    <w:basedOn w:val="Introtext"/>
    <w:rsid w:val="009D6163"/>
    <w:pPr>
      <w:numPr>
        <w:numId w:val="17"/>
      </w:numPr>
    </w:pPr>
  </w:style>
  <w:style w:type="paragraph" w:customStyle="1" w:styleId="NICEnormalindented">
    <w:name w:val="NICE normal indented"/>
    <w:basedOn w:val="NICEnormal"/>
    <w:rsid w:val="009D6163"/>
    <w:pPr>
      <w:tabs>
        <w:tab w:val="left" w:pos="1134"/>
      </w:tabs>
      <w:ind w:left="1134"/>
    </w:pPr>
  </w:style>
  <w:style w:type="paragraph" w:customStyle="1" w:styleId="Numberedheading1">
    <w:name w:val="Numbered heading 1"/>
    <w:basedOn w:val="Heading1"/>
    <w:next w:val="NICEnormal"/>
    <w:link w:val="Numberedheading1CharChar"/>
    <w:rsid w:val="009D6163"/>
    <w:pPr>
      <w:numPr>
        <w:ilvl w:val="3"/>
        <w:numId w:val="18"/>
      </w:numPr>
    </w:pPr>
    <w:rPr>
      <w:szCs w:val="24"/>
      <w:lang w:val="en-GB"/>
    </w:rPr>
  </w:style>
  <w:style w:type="character" w:customStyle="1" w:styleId="Numberedheading1CharChar">
    <w:name w:val="Numbered heading 1 Char Char"/>
    <w:link w:val="Numberedheading1"/>
    <w:rsid w:val="009D6163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autoRedefine/>
    <w:rsid w:val="009D6163"/>
    <w:pPr>
      <w:numPr>
        <w:ilvl w:val="1"/>
        <w:numId w:val="18"/>
      </w:numPr>
    </w:pPr>
  </w:style>
  <w:style w:type="character" w:customStyle="1" w:styleId="Numberedheading2Char">
    <w:name w:val="Numbered heading 2 Char"/>
    <w:link w:val="Numberedheading2"/>
    <w:rsid w:val="009D616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rsid w:val="009D6163"/>
    <w:pPr>
      <w:numPr>
        <w:ilvl w:val="2"/>
        <w:numId w:val="18"/>
      </w:numPr>
    </w:pPr>
    <w:rPr>
      <w:sz w:val="26"/>
    </w:rPr>
  </w:style>
  <w:style w:type="paragraph" w:customStyle="1" w:styleId="Numberedlevel2text">
    <w:name w:val="Numbered level 2 text"/>
    <w:basedOn w:val="Numberedheading2"/>
    <w:link w:val="Numberedlevel2textChar"/>
    <w:rsid w:val="009D6163"/>
    <w:pPr>
      <w:keepNext w:val="0"/>
      <w:spacing w:before="0" w:after="240"/>
      <w:outlineLvl w:val="9"/>
    </w:pPr>
    <w:rPr>
      <w:rFonts w:cs="Times New Roman"/>
      <w:b w:val="0"/>
      <w:i/>
      <w:sz w:val="24"/>
      <w:lang w:val="x-none"/>
    </w:rPr>
  </w:style>
  <w:style w:type="character" w:customStyle="1" w:styleId="Numberedlevel2textChar">
    <w:name w:val="Numbered level 2 text Char"/>
    <w:link w:val="Numberedlevel2text"/>
    <w:rsid w:val="009D6163"/>
    <w:rPr>
      <w:rFonts w:ascii="Arial" w:hAnsi="Arial"/>
      <w:bCs/>
      <w:i/>
      <w:sz w:val="24"/>
      <w:szCs w:val="28"/>
      <w:lang w:val="x-none" w:eastAsia="en-US"/>
    </w:rPr>
  </w:style>
  <w:style w:type="paragraph" w:customStyle="1" w:styleId="Numberedlevel3text">
    <w:name w:val="Numbered level 3 text"/>
    <w:basedOn w:val="Numberedheading3"/>
    <w:rsid w:val="009D6163"/>
    <w:pPr>
      <w:keepNext w:val="0"/>
      <w:spacing w:before="0" w:after="240"/>
      <w:outlineLvl w:val="9"/>
    </w:pPr>
    <w:rPr>
      <w:b w:val="0"/>
      <w:sz w:val="24"/>
    </w:rPr>
  </w:style>
  <w:style w:type="paragraph" w:customStyle="1" w:styleId="Numberedlevel4text">
    <w:name w:val="Numbered level 4 text"/>
    <w:basedOn w:val="NICEnormal"/>
    <w:next w:val="NICEnormal"/>
    <w:rsid w:val="009D6163"/>
    <w:pPr>
      <w:tabs>
        <w:tab w:val="num" w:pos="1134"/>
      </w:tabs>
      <w:ind w:left="1134" w:hanging="1134"/>
    </w:pPr>
  </w:style>
  <w:style w:type="character" w:styleId="PageNumber">
    <w:name w:val="page number"/>
    <w:rsid w:val="009D6163"/>
    <w:rPr>
      <w:rFonts w:ascii="Arial" w:hAnsi="Arial"/>
      <w:sz w:val="24"/>
    </w:rPr>
  </w:style>
  <w:style w:type="character" w:styleId="Strong">
    <w:name w:val="Strong"/>
    <w:uiPriority w:val="22"/>
    <w:qFormat/>
    <w:rsid w:val="009D6163"/>
    <w:rPr>
      <w:b/>
      <w:bCs/>
    </w:rPr>
  </w:style>
  <w:style w:type="paragraph" w:customStyle="1" w:styleId="Tabletext">
    <w:name w:val="Table text"/>
    <w:basedOn w:val="NICEnormalsinglespacing"/>
    <w:rsid w:val="009D6163"/>
    <w:pPr>
      <w:keepNext/>
      <w:spacing w:after="60"/>
    </w:pPr>
    <w:rPr>
      <w:sz w:val="22"/>
    </w:rPr>
  </w:style>
  <w:style w:type="paragraph" w:customStyle="1" w:styleId="Tabletitle">
    <w:name w:val="Table title"/>
    <w:basedOn w:val="NICEnormal"/>
    <w:next w:val="NICEnormal"/>
    <w:rsid w:val="009D6163"/>
    <w:pPr>
      <w:keepNext/>
      <w:spacing w:after="60" w:line="240" w:lineRule="auto"/>
    </w:pPr>
    <w:rPr>
      <w:b/>
    </w:rPr>
  </w:style>
  <w:style w:type="paragraph" w:customStyle="1" w:styleId="Title1">
    <w:name w:val="Title 1"/>
    <w:basedOn w:val="Title"/>
    <w:qFormat/>
    <w:rsid w:val="009D6163"/>
  </w:style>
  <w:style w:type="paragraph" w:customStyle="1" w:styleId="Title16pt">
    <w:name w:val="Title 16 pt"/>
    <w:basedOn w:val="Title"/>
    <w:rsid w:val="009D6163"/>
    <w:rPr>
      <w:sz w:val="32"/>
    </w:rPr>
  </w:style>
  <w:style w:type="paragraph" w:customStyle="1" w:styleId="Title16ptleft">
    <w:name w:val="Title 16 pt left"/>
    <w:basedOn w:val="Title16pt"/>
    <w:rsid w:val="009D6163"/>
    <w:pPr>
      <w:jc w:val="left"/>
    </w:pPr>
  </w:style>
  <w:style w:type="paragraph" w:customStyle="1" w:styleId="Unnumberedboldheading">
    <w:name w:val="Unnumbered bold heading"/>
    <w:next w:val="NICEnormal"/>
    <w:rsid w:val="009D6163"/>
    <w:pPr>
      <w:keepNext/>
      <w:widowControl w:val="0"/>
      <w:spacing w:after="120"/>
      <w:outlineLvl w:val="3"/>
    </w:pPr>
    <w:rPr>
      <w:rFonts w:ascii="Arial" w:hAnsi="Arial"/>
      <w:b/>
      <w:sz w:val="24"/>
      <w:szCs w:val="24"/>
      <w:lang w:eastAsia="en-US"/>
    </w:rPr>
  </w:style>
  <w:style w:type="paragraph" w:customStyle="1" w:styleId="Unnumbereditalicheading">
    <w:name w:val="Unnumbered italic heading"/>
    <w:next w:val="NICEnormal"/>
    <w:rsid w:val="009D6163"/>
    <w:pPr>
      <w:keepNext/>
      <w:widowControl w:val="0"/>
      <w:spacing w:after="120"/>
    </w:pPr>
    <w:rPr>
      <w:rFonts w:ascii="Arial" w:hAnsi="Arial"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93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03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38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7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854/histo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ta8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854/chapter/3-Committee-discuss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ta854/chapter/3-Committee-discus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jm.org/doi/full/10.1056/NEJMoa230414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ce.org.uk/terms-and-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2E24-873B-4016-B274-25E09DD1DD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Links>
    <vt:vector size="6" baseType="variant">
      <vt:variant>
        <vt:i4>4194324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https://www.nice.org.uk/terms-and-conditions</vt:lpwstr>
      </vt:variant>
      <vt:variant>
        <vt:lpwstr>notice-of-rights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TA854 Esketamine nasal spray for treatment-resistant depression: review decision paper 12/06/24</dc:title>
  <dc:subject/>
  <dc:creator/>
  <cp:keywords/>
  <dc:description/>
  <cp:lastModifiedBy/>
  <cp:revision>1</cp:revision>
  <dcterms:created xsi:type="dcterms:W3CDTF">2024-06-11T08:09:00Z</dcterms:created>
  <dcterms:modified xsi:type="dcterms:W3CDTF">2024-06-11T09:33:00Z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2024-06-10T15:47:09Z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178de184-a53f-4b0e-b4d0-41f757e3ae3f</vt:lpwstr>
  </property>
  <property fmtid="{D5CDD505-2E9C-101B-9397-08002B2CF9AE}" pid="8" name="MSIP_Label_c69d85d5-6d9e-4305-a294-1f636ec0f2d6_ContentBits">
    <vt:lpwstr>0</vt:lpwstr>
  </property>
</Properties>
</file>