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25B9" w14:textId="77777777" w:rsidR="003B57E0" w:rsidRDefault="003B57E0"/>
    <w:p w14:paraId="3E65029F" w14:textId="77777777" w:rsidR="00885AEC" w:rsidRDefault="00885AEC"/>
    <w:p w14:paraId="4422747D" w14:textId="77777777" w:rsidR="00437CF7" w:rsidRDefault="00885AEC" w:rsidP="00437CF7">
      <w:r>
        <w:rPr>
          <w:noProof/>
          <w:lang w:eastAsia="en-GB"/>
        </w:rPr>
        <w:drawing>
          <wp:inline distT="0" distB="0" distL="0" distR="0" wp14:anchorId="67073963" wp14:editId="1B318374">
            <wp:extent cx="3257550" cy="304800"/>
            <wp:effectExtent l="0" t="0" r="0" b="0"/>
            <wp:docPr id="4" name="Picture 4" descr="logo-lar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a:ln>
                      <a:noFill/>
                    </a:ln>
                  </pic:spPr>
                </pic:pic>
              </a:graphicData>
            </a:graphic>
          </wp:inline>
        </w:drawing>
      </w:r>
    </w:p>
    <w:p w14:paraId="78DBBA5F" w14:textId="77777777" w:rsidR="00437CF7" w:rsidRDefault="00437CF7" w:rsidP="00437CF7"/>
    <w:p w14:paraId="2089BBFC" w14:textId="77777777" w:rsidR="00437CF7" w:rsidRPr="00533C95" w:rsidRDefault="00437CF7" w:rsidP="00437CF7"/>
    <w:p w14:paraId="5EFD748F" w14:textId="354763D0" w:rsidR="00437CF7" w:rsidRDefault="005B283A" w:rsidP="00437CF7">
      <w:pPr>
        <w:rPr>
          <w:rFonts w:ascii="Segoe UI" w:hAnsi="Segoe UI" w:cs="Segoe UI"/>
          <w:b/>
          <w:bCs/>
          <w:color w:val="000000"/>
          <w:kern w:val="28"/>
          <w:sz w:val="62"/>
          <w:szCs w:val="62"/>
        </w:rPr>
      </w:pPr>
      <w:r>
        <w:rPr>
          <w:noProof/>
        </w:rPr>
        <mc:AlternateContent>
          <mc:Choice Requires="wps">
            <w:drawing>
              <wp:anchor distT="0" distB="0" distL="114300" distR="114300" simplePos="0" relativeHeight="251658240" behindDoc="0" locked="0" layoutInCell="1" allowOverlap="1" wp14:anchorId="595405CF" wp14:editId="37222DE4">
                <wp:simplePos x="0" y="0"/>
                <wp:positionH relativeFrom="column">
                  <wp:posOffset>19050</wp:posOffset>
                </wp:positionH>
                <wp:positionV relativeFrom="paragraph">
                  <wp:posOffset>92710</wp:posOffset>
                </wp:positionV>
                <wp:extent cx="5943600" cy="717550"/>
                <wp:effectExtent l="0" t="0" r="0" b="25400"/>
                <wp:wrapThrough wrapText="bothSides">
                  <wp:wrapPolygon edited="0">
                    <wp:start x="0" y="0"/>
                    <wp:lineTo x="0" y="22365"/>
                    <wp:lineTo x="21531" y="22365"/>
                    <wp:lineTo x="21531"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17550"/>
                        </a:xfrm>
                        <a:prstGeom prst="rect">
                          <a:avLst/>
                        </a:prstGeom>
                        <a:solidFill>
                          <a:srgbClr val="004650"/>
                        </a:solidFill>
                        <a:ln>
                          <a:noFill/>
                        </a:ln>
                        <a:effectLst>
                          <a:outerShdw dist="23000" dir="5400000" rotWithShape="0">
                            <a:srgbClr val="000000">
                              <a:alpha val="34999"/>
                            </a:srgbClr>
                          </a:outerShdw>
                        </a:effectLst>
                      </wps:spPr>
                      <wps:txbx>
                        <w:txbxContent>
                          <w:p w14:paraId="1450BD9C" w14:textId="77777777" w:rsidR="00CB4C88" w:rsidRPr="003E50EF" w:rsidRDefault="00CB4C88" w:rsidP="00437CF7">
                            <w:pPr>
                              <w:spacing w:before="240"/>
                              <w:rPr>
                                <w:rFonts w:ascii="Arial" w:hAnsi="Arial" w:cs="Arial"/>
                                <w:color w:val="FFFFFF"/>
                                <w:sz w:val="50"/>
                                <w:szCs w:val="50"/>
                              </w:rPr>
                            </w:pPr>
                            <w:r w:rsidRPr="003E50EF">
                              <w:rPr>
                                <w:rFonts w:ascii="Arial" w:hAnsi="Arial" w:cs="Arial"/>
                                <w:color w:val="FFFFFF"/>
                                <w:sz w:val="50"/>
                                <w:szCs w:val="50"/>
                              </w:rPr>
                              <w:t>Putting NICE guidance into practice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5405CF" id="Rectangle 5" o:spid="_x0000_s1026" style="position:absolute;margin-left:1.5pt;margin-top:7.3pt;width:468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NLJAIAAEcEAAAOAAAAZHJzL2Uyb0RvYy54bWysU1GP0zAMfkfiP0R5Z+22bseqdSd0p0NI&#10;B4c0EM9pmq4RaRycbN349TjpbTcBT4iXyI6dz99nO+vbY2/YQaHXYCs+neScKSuh0XZX8a9fHt68&#10;5cwHYRthwKqKn5Tnt5vXr9aDK9UMOjCNQkYg1peDq3gXgiuzzMtO9cJPwClLwRawF4Fc3GUNioHQ&#10;e5PN8nyZDYCNQ5DKe7q9H4N8k/DbVsnw1LZeBWYqTtxCOjGddTyzzVqUOxSu0/KZhvgHFr3Qlope&#10;oO5FEGyP+g+oXksED22YSOgzaFstVdJAaqb5b2q2nXAqaaHmeHdpk/9/sPLTYes+Y6Tu3SPI7546&#10;kg3Ol5dIdDzlsHr4CA3NUOwDJLHHFvv4kmSwY+rp6dJTdQxM0uViVcyXObVeUuxmerNYpKZnojy/&#10;dujDewU9i0bFkWaW0MXh0YfIRpTnlEQTjG4etDHJwV19Z5AdRJxvXiwv6P46zdiYbCE+GxHHG5U2&#10;hMokFfugcNs1A2t0JDKb55F3o2ldFgXZ0UMI33To0mSi1r+QSInxXhjXiZHavFitVnHZSIwfOScb&#10;zjWTd0UnjSB2PW6yL8OxPtLraNbQnGgYRCTWj3+PjA7wJ2cD7XHF/Y+9QMWZ+WBpUVbToqC0kJxi&#10;cTOLIq4j9XVEWElQFZcBORuduzB+l71Dveuo1jSJtvCO1qDVaUIvvEhHdGhbk6LnnxW/w7Wfsl7+&#10;/+YXAAAA//8DAFBLAwQUAAYACAAAACEAS7cAv+AAAAAIAQAADwAAAGRycy9kb3ducmV2LnhtbEyP&#10;wU7DMBBE70j9B2srcUHUaYtCGuJUgEQFlXpoQYijEy9JaLyOYqcNf89yguPOrGbeZOvRtuKEvW8c&#10;KZjPIhBIpTMNVQreXp+uExA+aDK6dYQKvtHDOp9cZDo17kx7PB1CJTiEfKoV1CF0qZS+rNFqP3Md&#10;Enufrrc68NlX0vT6zOG2lYsoiqXVDXFDrTt8rLE8HgbLJcnX1TB/L8rNx/N287I72odkb5W6nI73&#10;dyACjuHvGX7xGR1yZircQMaLVsGSlwSWb2IQbK+WKxYKFha3Mcg8k/8H5D8AAAD//wMAUEsBAi0A&#10;FAAGAAgAAAAhALaDOJL+AAAA4QEAABMAAAAAAAAAAAAAAAAAAAAAAFtDb250ZW50X1R5cGVzXS54&#10;bWxQSwECLQAUAAYACAAAACEAOP0h/9YAAACUAQAACwAAAAAAAAAAAAAAAAAvAQAAX3JlbHMvLnJl&#10;bHNQSwECLQAUAAYACAAAACEAggQzSyQCAABHBAAADgAAAAAAAAAAAAAAAAAuAgAAZHJzL2Uyb0Rv&#10;Yy54bWxQSwECLQAUAAYACAAAACEAS7cAv+AAAAAIAQAADwAAAAAAAAAAAAAAAAB+BAAAZHJzL2Rv&#10;d25yZXYueG1sUEsFBgAAAAAEAAQA8wAAAIsFAAAAAA==&#10;" fillcolor="#004650" stroked="f">
                <v:shadow on="t" color="black" opacity="22936f" origin=",.5" offset="0,.63889mm"/>
                <v:textbox>
                  <w:txbxContent>
                    <w:p w14:paraId="1450BD9C" w14:textId="77777777" w:rsidR="00CB4C88" w:rsidRPr="003E50EF" w:rsidRDefault="00CB4C88" w:rsidP="00437CF7">
                      <w:pPr>
                        <w:spacing w:before="240"/>
                        <w:rPr>
                          <w:rFonts w:ascii="Arial" w:hAnsi="Arial" w:cs="Arial"/>
                          <w:color w:val="FFFFFF"/>
                          <w:sz w:val="50"/>
                          <w:szCs w:val="50"/>
                        </w:rPr>
                      </w:pPr>
                      <w:r w:rsidRPr="003E50EF">
                        <w:rPr>
                          <w:rFonts w:ascii="Arial" w:hAnsi="Arial" w:cs="Arial"/>
                          <w:color w:val="FFFFFF"/>
                          <w:sz w:val="50"/>
                          <w:szCs w:val="50"/>
                        </w:rPr>
                        <w:t>Putting NICE guidance into practice</w:t>
                      </w:r>
                    </w:p>
                  </w:txbxContent>
                </v:textbox>
                <w10:wrap type="through"/>
              </v:rect>
            </w:pict>
          </mc:Fallback>
        </mc:AlternateContent>
      </w:r>
    </w:p>
    <w:p w14:paraId="3C6D6CC3" w14:textId="77777777" w:rsidR="00437CF7" w:rsidRPr="00C04750" w:rsidRDefault="00437CF7" w:rsidP="00437CF7">
      <w:pPr>
        <w:rPr>
          <w:rFonts w:ascii="Segoe UI" w:hAnsi="Segoe UI" w:cs="Segoe UI"/>
          <w:b/>
          <w:bCs/>
          <w:color w:val="000000"/>
          <w:kern w:val="28"/>
          <w:sz w:val="62"/>
          <w:szCs w:val="62"/>
        </w:rPr>
      </w:pPr>
    </w:p>
    <w:p w14:paraId="4CF2545F" w14:textId="77777777" w:rsidR="00437CF7" w:rsidRPr="00A336F2" w:rsidRDefault="00ED1870" w:rsidP="00437CF7">
      <w:pPr>
        <w:rPr>
          <w:rFonts w:ascii="Arial" w:hAnsi="Arial" w:cs="Arial"/>
          <w:b/>
          <w:bCs/>
          <w:color w:val="000000"/>
          <w:kern w:val="28"/>
          <w:sz w:val="40"/>
          <w:szCs w:val="40"/>
        </w:rPr>
      </w:pPr>
      <w:r w:rsidRPr="00A336F2">
        <w:rPr>
          <w:rFonts w:ascii="Arial" w:hAnsi="Arial" w:cs="Arial"/>
          <w:b/>
          <w:bCs/>
          <w:color w:val="000000"/>
          <w:kern w:val="28"/>
          <w:sz w:val="48"/>
          <w:szCs w:val="48"/>
        </w:rPr>
        <w:t>Resource impact</w:t>
      </w:r>
      <w:r w:rsidR="003A26D8" w:rsidRPr="00A336F2">
        <w:rPr>
          <w:rFonts w:ascii="Arial" w:hAnsi="Arial" w:cs="Arial"/>
          <w:b/>
          <w:bCs/>
          <w:color w:val="000000"/>
          <w:kern w:val="28"/>
          <w:sz w:val="48"/>
          <w:szCs w:val="48"/>
        </w:rPr>
        <w:t xml:space="preserve"> </w:t>
      </w:r>
      <w:r w:rsidR="00397FB2" w:rsidRPr="00A336F2">
        <w:rPr>
          <w:rFonts w:ascii="Arial" w:hAnsi="Arial" w:cs="Arial"/>
          <w:b/>
          <w:bCs/>
          <w:color w:val="000000"/>
          <w:kern w:val="28"/>
          <w:sz w:val="48"/>
          <w:szCs w:val="48"/>
        </w:rPr>
        <w:t>report</w:t>
      </w:r>
      <w:r w:rsidR="00437CF7" w:rsidRPr="00A336F2">
        <w:rPr>
          <w:rFonts w:ascii="Arial" w:hAnsi="Arial" w:cs="Arial"/>
          <w:b/>
          <w:bCs/>
          <w:color w:val="000000"/>
          <w:kern w:val="28"/>
          <w:sz w:val="48"/>
          <w:szCs w:val="48"/>
        </w:rPr>
        <w:t>:</w:t>
      </w:r>
    </w:p>
    <w:p w14:paraId="1B0A7C69" w14:textId="60875576" w:rsidR="00CB75E3" w:rsidRPr="00A336F2" w:rsidRDefault="00FD7F66" w:rsidP="00CB75E3">
      <w:pPr>
        <w:rPr>
          <w:rFonts w:ascii="Arial" w:hAnsi="Arial" w:cs="Arial"/>
          <w:b/>
          <w:bCs/>
          <w:color w:val="000000"/>
          <w:kern w:val="28"/>
          <w:sz w:val="40"/>
          <w:szCs w:val="40"/>
        </w:rPr>
      </w:pPr>
      <w:r w:rsidRPr="00FD7F66">
        <w:rPr>
          <w:rFonts w:ascii="Arial" w:hAnsi="Arial" w:cs="Arial"/>
          <w:b/>
          <w:bCs/>
          <w:color w:val="000000"/>
          <w:kern w:val="28"/>
          <w:sz w:val="40"/>
          <w:szCs w:val="40"/>
        </w:rPr>
        <w:t xml:space="preserve">Selinexor with dexamethasone for treating relapsed or refractory multiple myeloma after 4 or more treatments </w:t>
      </w:r>
      <w:r w:rsidR="00CB75E3">
        <w:rPr>
          <w:rFonts w:ascii="Arial" w:hAnsi="Arial" w:cs="Arial"/>
          <w:b/>
          <w:bCs/>
          <w:color w:val="000000"/>
          <w:kern w:val="28"/>
          <w:sz w:val="40"/>
          <w:szCs w:val="40"/>
        </w:rPr>
        <w:t>(TA</w:t>
      </w:r>
      <w:r w:rsidR="00A91C40">
        <w:rPr>
          <w:rFonts w:ascii="Arial" w:hAnsi="Arial" w:cs="Arial"/>
          <w:b/>
          <w:bCs/>
          <w:color w:val="000000"/>
          <w:kern w:val="28"/>
          <w:sz w:val="40"/>
          <w:szCs w:val="40"/>
        </w:rPr>
        <w:t>970</w:t>
      </w:r>
      <w:r w:rsidR="00CB75E3" w:rsidRPr="00A336F2">
        <w:rPr>
          <w:rFonts w:ascii="Arial" w:hAnsi="Arial" w:cs="Arial"/>
          <w:b/>
          <w:bCs/>
          <w:color w:val="000000"/>
          <w:kern w:val="28"/>
          <w:sz w:val="40"/>
          <w:szCs w:val="40"/>
        </w:rPr>
        <w:t>)</w:t>
      </w:r>
    </w:p>
    <w:p w14:paraId="7AE4392E" w14:textId="77777777" w:rsidR="00437CF7" w:rsidRPr="00A336F2" w:rsidRDefault="00437CF7" w:rsidP="00437CF7">
      <w:pPr>
        <w:rPr>
          <w:rFonts w:ascii="Arial" w:hAnsi="Arial" w:cs="Arial"/>
          <w:b/>
          <w:bCs/>
          <w:color w:val="000000"/>
          <w:kern w:val="28"/>
          <w:sz w:val="44"/>
          <w:szCs w:val="44"/>
        </w:rPr>
      </w:pPr>
    </w:p>
    <w:p w14:paraId="20728469" w14:textId="77777777" w:rsidR="006758E9" w:rsidRPr="00A336F2" w:rsidRDefault="006758E9" w:rsidP="00437CF7">
      <w:pPr>
        <w:rPr>
          <w:rFonts w:ascii="Arial" w:hAnsi="Arial" w:cs="Arial"/>
          <w:b/>
          <w:bCs/>
          <w:color w:val="000000"/>
          <w:kern w:val="28"/>
          <w:sz w:val="44"/>
          <w:szCs w:val="44"/>
        </w:rPr>
      </w:pPr>
    </w:p>
    <w:p w14:paraId="644E7CCB" w14:textId="77777777" w:rsidR="00365974" w:rsidRPr="00A336F2" w:rsidRDefault="00365974" w:rsidP="00437CF7">
      <w:pPr>
        <w:rPr>
          <w:rFonts w:ascii="Arial" w:hAnsi="Arial" w:cs="Arial"/>
          <w:b/>
          <w:bCs/>
          <w:color w:val="000000"/>
          <w:kern w:val="28"/>
          <w:sz w:val="44"/>
          <w:szCs w:val="44"/>
        </w:rPr>
      </w:pPr>
    </w:p>
    <w:p w14:paraId="321670FB" w14:textId="4359A8A2" w:rsidR="00437CF7" w:rsidRDefault="00437CF7" w:rsidP="00E449A2">
      <w:pPr>
        <w:pStyle w:val="NICEnormalsinglespacing"/>
        <w:rPr>
          <w:rFonts w:cs="Arial"/>
          <w:color w:val="7F7F7F"/>
          <w:sz w:val="36"/>
          <w:szCs w:val="36"/>
        </w:rPr>
      </w:pPr>
      <w:r w:rsidRPr="00A336F2">
        <w:rPr>
          <w:rFonts w:cs="Arial"/>
          <w:color w:val="7F7F7F"/>
          <w:sz w:val="36"/>
          <w:szCs w:val="36"/>
        </w:rPr>
        <w:t xml:space="preserve">Published: </w:t>
      </w:r>
      <w:r w:rsidR="008B1075">
        <w:rPr>
          <w:rFonts w:cs="Arial"/>
          <w:color w:val="7F7F7F"/>
          <w:sz w:val="36"/>
          <w:szCs w:val="36"/>
        </w:rPr>
        <w:t>May</w:t>
      </w:r>
      <w:r w:rsidR="00D57F11">
        <w:rPr>
          <w:rFonts w:cs="Arial"/>
          <w:color w:val="7F7F7F"/>
          <w:sz w:val="36"/>
          <w:szCs w:val="36"/>
        </w:rPr>
        <w:t xml:space="preserve"> 2024</w:t>
      </w:r>
      <w:r w:rsidR="00017367" w:rsidRPr="00A336F2">
        <w:rPr>
          <w:rFonts w:cs="Arial"/>
          <w:color w:val="7F7F7F"/>
          <w:sz w:val="36"/>
          <w:szCs w:val="36"/>
        </w:rPr>
        <w:t xml:space="preserve"> </w:t>
      </w:r>
    </w:p>
    <w:p w14:paraId="74BD18DA" w14:textId="77777777" w:rsidR="00B02E7C" w:rsidRDefault="00B02E7C" w:rsidP="00E449A2">
      <w:pPr>
        <w:pStyle w:val="NICEnormalsinglespacing"/>
        <w:rPr>
          <w:rFonts w:cs="Arial"/>
          <w:color w:val="7F7F7F"/>
          <w:sz w:val="36"/>
          <w:szCs w:val="36"/>
        </w:rPr>
      </w:pPr>
    </w:p>
    <w:p w14:paraId="6CE3487D" w14:textId="28B11F40" w:rsidR="00957EB9" w:rsidRDefault="00957EB9">
      <w:pPr>
        <w:rPr>
          <w:rFonts w:ascii="Segoe UI" w:hAnsi="Segoe UI" w:cs="Segoe UI"/>
          <w:b/>
          <w:bCs/>
          <w:color w:val="000000"/>
          <w:kern w:val="28"/>
          <w:sz w:val="44"/>
          <w:szCs w:val="44"/>
        </w:rPr>
      </w:pPr>
      <w:r>
        <w:rPr>
          <w:rFonts w:ascii="Segoe UI" w:hAnsi="Segoe UI" w:cs="Segoe UI"/>
          <w:b/>
          <w:bCs/>
          <w:color w:val="000000"/>
          <w:kern w:val="28"/>
          <w:sz w:val="44"/>
          <w:szCs w:val="44"/>
        </w:rPr>
        <w:br w:type="page"/>
      </w:r>
    </w:p>
    <w:p w14:paraId="1C561145" w14:textId="613CE6C1" w:rsidR="00CB75E3" w:rsidRPr="00CB75E3" w:rsidRDefault="005B283A" w:rsidP="00CB75E3">
      <w:pPr>
        <w:pStyle w:val="Heading1"/>
      </w:pPr>
      <w:r>
        <w:rPr>
          <w:noProof/>
        </w:rPr>
        <w:lastRenderedPageBreak/>
        <mc:AlternateContent>
          <mc:Choice Requires="wps">
            <w:drawing>
              <wp:anchor distT="0" distB="0" distL="114300" distR="114300" simplePos="0" relativeHeight="251658241" behindDoc="1" locked="0" layoutInCell="1" allowOverlap="1" wp14:anchorId="64B16E62" wp14:editId="236DF74F">
                <wp:simplePos x="0" y="0"/>
                <wp:positionH relativeFrom="margin">
                  <wp:posOffset>-388426</wp:posOffset>
                </wp:positionH>
                <wp:positionV relativeFrom="paragraph">
                  <wp:posOffset>-286139</wp:posOffset>
                </wp:positionV>
                <wp:extent cx="6048375" cy="8814319"/>
                <wp:effectExtent l="0" t="0" r="2857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8814319"/>
                        </a:xfrm>
                        <a:prstGeom prst="rect">
                          <a:avLst/>
                        </a:prstGeom>
                        <a:noFill/>
                        <a:ln w="25400" cap="flat" cmpd="sng" algn="ctr">
                          <a:solidFill>
                            <a:srgbClr val="0046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13EC" id="Rectangle 1" o:spid="_x0000_s1026" style="position:absolute;margin-left:-30.6pt;margin-top:-22.55pt;width:476.25pt;height:694.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jrXgIAALwEAAAOAAAAZHJzL2Uyb0RvYy54bWysVE1v2zAMvQ/YfxB0X+2kTpsadYqgRYcB&#10;QVugLXpmZCkWpq9JSpzu14+SnbTrdhqWg0CKNMn39JjLq71WZMd9kNY0dHJSUsINs600m4Y+P91+&#10;mVMSIpgWlDW8oa880KvF50+Xvav51HZWtdwTLGJC3buGdjG6uigC67iGcGIdNxgU1muI6PpN0Xro&#10;sbpWxbQsz4re+tZ5y3gIeHszBOki1xeCs3gvROCRqIbibDGfPp/rdBaLS6g3Hlwn2TgG/MMUGqTB&#10;psdSNxCBbL38o5SWzNtgRTxhVhdWCMl4xoBoJuUHNI8dOJ6xIDnBHWkK/68su9s9ugefRg9uZdn3&#10;gIwUvQv1MZKcMObshdcpFwcn+8zi65FFvo+E4eVZWc1Pz2eUMIzN55PqdHKReC6gPnzufIhfudUk&#10;GQ31+EyZPditQhxSDympm7G3Uqn8VMqQvqHTWVXiazJAxQgFEU3t2oYGs6EE1AalyKLPJYNVsk2f&#10;Z4h+s75WnuwgyaGszmZZATjZb2mp9w2EbsjLoUEoWkZUq5IagZXpN+JSJlXnWW8jgjfWkrW27euD&#10;J94OAgyO3UpssoIQH8Cj4hANblG8x0MoixDtaFHSWf/zb/cpH4WAUUp6VDDC/7EFzylR3wxK5GJS&#10;VUny2alm51N0/PvI+n3EbPW1RVYmuK+OZTPlR3Uwhbf6BZdtmbpiCAzD3gPRo3Mdh83CdWV8ucxp&#10;KHMHcWUeHUvFE0+J3qf9C3g3vn9E6dzZg9qh/iCDIXcQwnIbrZBZI2+8jorFFckqG9c57eB7P2e9&#10;/eksfgEAAP//AwBQSwMEFAAGAAgAAAAhAFF/tdbhAAAADAEAAA8AAABkcnMvZG93bnJldi54bWxM&#10;j8tOwzAQRfdI/IM1SOxaJ00JJY1TISSEWNIWdevEbhzFj8h2k5SvZ1iV3Yzm6M655W42mozSh85Z&#10;BukyASJt40RnWwbHw/tiAyREbgXXzkoGVxlgV93flbwQbrJfctzHlmCIDQVnoGIcCkpDo6ThYekG&#10;afF2dt7wiKtvqfB8wnCj6SpJcmp4Z/GD4oN8U7Lp9xfDIF4P3/7jpFX+eZqfx5+6n3R/ZOzxYX7d&#10;AolyjjcY/vRRHSp0qt3FikA0g0WerhDFYf2UAkFi85JmQGpEs3WWAK1K+r9E9QsAAP//AwBQSwEC&#10;LQAUAAYACAAAACEAtoM4kv4AAADhAQAAEwAAAAAAAAAAAAAAAAAAAAAAW0NvbnRlbnRfVHlwZXNd&#10;LnhtbFBLAQItABQABgAIAAAAIQA4/SH/1gAAAJQBAAALAAAAAAAAAAAAAAAAAC8BAABfcmVscy8u&#10;cmVsc1BLAQItABQABgAIAAAAIQBN5GjrXgIAALwEAAAOAAAAAAAAAAAAAAAAAC4CAABkcnMvZTJv&#10;RG9jLnhtbFBLAQItABQABgAIAAAAIQBRf7XW4QAAAAwBAAAPAAAAAAAAAAAAAAAAALgEAABkcnMv&#10;ZG93bnJldi54bWxQSwUGAAAAAAQABADzAAAAxgUAAAAA&#10;" filled="f" strokecolor="#004650" strokeweight="2pt">
                <v:path arrowok="t"/>
                <w10:wrap anchorx="margin"/>
              </v:rect>
            </w:pict>
          </mc:Fallback>
        </mc:AlternateContent>
      </w:r>
      <w:r w:rsidR="00CB75E3" w:rsidRPr="00CB75E3">
        <w:t>Summary</w:t>
      </w:r>
    </w:p>
    <w:p w14:paraId="01A4370C" w14:textId="47A84B4A" w:rsidR="00700357" w:rsidRPr="00700357" w:rsidRDefault="00CB75E3" w:rsidP="00700357">
      <w:pPr>
        <w:spacing w:after="240" w:line="360" w:lineRule="auto"/>
        <w:rPr>
          <w:rFonts w:ascii="Arial" w:hAnsi="Arial"/>
          <w:lang w:val="en-US"/>
        </w:rPr>
      </w:pPr>
      <w:r w:rsidRPr="00CB75E3">
        <w:rPr>
          <w:rFonts w:ascii="Arial" w:hAnsi="Arial"/>
          <w:lang w:val="en-US"/>
        </w:rPr>
        <w:t>NICE has recommended</w:t>
      </w:r>
      <w:r w:rsidR="00BA345F">
        <w:rPr>
          <w:rFonts w:ascii="Arial" w:hAnsi="Arial"/>
          <w:lang w:val="en-US"/>
        </w:rPr>
        <w:t xml:space="preserve"> </w:t>
      </w:r>
      <w:r w:rsidR="00700357">
        <w:rPr>
          <w:rFonts w:ascii="Arial" w:hAnsi="Arial"/>
          <w:lang w:val="en-US"/>
        </w:rPr>
        <w:t>s</w:t>
      </w:r>
      <w:r w:rsidR="00700357" w:rsidRPr="00700357">
        <w:rPr>
          <w:rFonts w:ascii="Arial" w:hAnsi="Arial"/>
          <w:lang w:val="en-US"/>
        </w:rPr>
        <w:t>elinexor plus dexamethason</w:t>
      </w:r>
      <w:r w:rsidR="002D2A2C">
        <w:rPr>
          <w:rFonts w:ascii="Arial" w:hAnsi="Arial"/>
          <w:lang w:val="en-US"/>
        </w:rPr>
        <w:t>e</w:t>
      </w:r>
      <w:r w:rsidR="00700357" w:rsidRPr="00700357">
        <w:rPr>
          <w:rFonts w:ascii="Arial" w:hAnsi="Arial"/>
          <w:lang w:val="en-US"/>
        </w:rPr>
        <w:t>, within its marketing authorisation, for treating multiple myeloma in adults when:</w:t>
      </w:r>
    </w:p>
    <w:p w14:paraId="13E067F5" w14:textId="39BDB39B" w:rsidR="00700357" w:rsidRPr="00700357" w:rsidRDefault="00700357" w:rsidP="001354A9">
      <w:pPr>
        <w:pStyle w:val="Bulletleft1"/>
      </w:pPr>
      <w:r w:rsidRPr="00700357">
        <w:t>they have had 4</w:t>
      </w:r>
      <w:r w:rsidR="001354A9">
        <w:t> </w:t>
      </w:r>
      <w:r w:rsidRPr="00700357">
        <w:t>or more treatments, and</w:t>
      </w:r>
    </w:p>
    <w:p w14:paraId="2300D602" w14:textId="0BAC5F20" w:rsidR="00700357" w:rsidRPr="00700357" w:rsidRDefault="00700357" w:rsidP="001354A9">
      <w:pPr>
        <w:pStyle w:val="Bulletleft1"/>
      </w:pPr>
      <w:r w:rsidRPr="00700357">
        <w:t>the condition is refractory to at least 2</w:t>
      </w:r>
      <w:r w:rsidR="001354A9">
        <w:t> </w:t>
      </w:r>
      <w:r w:rsidRPr="00700357">
        <w:t>proteasome inhibitors, 2</w:t>
      </w:r>
      <w:r w:rsidR="001354A9">
        <w:t> </w:t>
      </w:r>
      <w:r w:rsidRPr="00700357">
        <w:t>immunomodulatory agents and an anti</w:t>
      </w:r>
      <w:r w:rsidR="001354A9">
        <w:noBreakHyphen/>
      </w:r>
      <w:r w:rsidRPr="00700357">
        <w:t>CD38 monoclonal antibody (penta-refractory), and</w:t>
      </w:r>
    </w:p>
    <w:p w14:paraId="721ECBF3" w14:textId="643CBF01" w:rsidR="00700357" w:rsidRPr="00700357" w:rsidRDefault="00700357" w:rsidP="001354A9">
      <w:pPr>
        <w:pStyle w:val="Bulletleft1"/>
      </w:pPr>
      <w:r w:rsidRPr="00700357">
        <w:t>the condition has progressed on the last treatment, and</w:t>
      </w:r>
    </w:p>
    <w:p w14:paraId="75677B9F" w14:textId="6CCCF92D" w:rsidR="002D2A2C" w:rsidRDefault="00700357" w:rsidP="001354A9">
      <w:pPr>
        <w:pStyle w:val="Bulletleft1last"/>
      </w:pPr>
      <w:r w:rsidRPr="00700357">
        <w:t>the company provides it according to the commercial arrangement</w:t>
      </w:r>
      <w:r w:rsidR="002D2A2C">
        <w:t>.</w:t>
      </w:r>
    </w:p>
    <w:p w14:paraId="01AB1A8B" w14:textId="1E5D1E7E" w:rsidR="00CB75E3" w:rsidRPr="00CB75E3" w:rsidRDefault="00CB75E3" w:rsidP="003329AB">
      <w:pPr>
        <w:spacing w:line="360" w:lineRule="auto"/>
        <w:rPr>
          <w:rFonts w:ascii="Arial" w:hAnsi="Arial"/>
          <w:lang w:val="en-US"/>
        </w:rPr>
      </w:pPr>
      <w:r w:rsidRPr="00CB75E3">
        <w:rPr>
          <w:rFonts w:ascii="Arial" w:hAnsi="Arial"/>
          <w:lang w:val="en-US"/>
        </w:rPr>
        <w:t>We estimate that</w:t>
      </w:r>
      <w:r w:rsidR="00746A97">
        <w:rPr>
          <w:rFonts w:ascii="Arial" w:hAnsi="Arial"/>
          <w:lang w:val="en-US"/>
        </w:rPr>
        <w:t xml:space="preserve"> around</w:t>
      </w:r>
      <w:r w:rsidRPr="00CB75E3">
        <w:rPr>
          <w:rFonts w:ascii="Arial" w:hAnsi="Arial"/>
          <w:lang w:val="en-US"/>
        </w:rPr>
        <w:t>:</w:t>
      </w:r>
    </w:p>
    <w:p w14:paraId="1C260284" w14:textId="38DCDA8B" w:rsidR="00CB75E3" w:rsidRPr="00CB75E3" w:rsidRDefault="008B06BA" w:rsidP="001354A9">
      <w:pPr>
        <w:pStyle w:val="Bulletleft1"/>
      </w:pPr>
      <w:bookmarkStart w:id="0" w:name="_Hlk129943690"/>
      <w:bookmarkStart w:id="1" w:name="_Hlk146023532"/>
      <w:r>
        <w:t>46</w:t>
      </w:r>
      <w:r w:rsidR="00BC2D77">
        <w:t>3</w:t>
      </w:r>
      <w:r w:rsidR="001354A9">
        <w:t> </w:t>
      </w:r>
      <w:r w:rsidR="00CB75E3" w:rsidRPr="00CB75E3">
        <w:t xml:space="preserve">adults with </w:t>
      </w:r>
      <w:r w:rsidR="00D46A46" w:rsidRPr="00D46A46">
        <w:t xml:space="preserve">multiple myeloma </w:t>
      </w:r>
      <w:r w:rsidR="00CB75E3" w:rsidRPr="00CB75E3">
        <w:t xml:space="preserve">are eligible for treatment with </w:t>
      </w:r>
      <w:r w:rsidR="00D46A46" w:rsidRPr="00D46A46">
        <w:t xml:space="preserve">selinexor </w:t>
      </w:r>
      <w:r w:rsidR="007B1AE8">
        <w:t>plus</w:t>
      </w:r>
      <w:r w:rsidR="00D46A46" w:rsidRPr="00D46A46">
        <w:t xml:space="preserve"> dexamethasone </w:t>
      </w:r>
      <w:r w:rsidR="00FA6D35">
        <w:t>based on expected population growth</w:t>
      </w:r>
      <w:r w:rsidR="001354A9">
        <w:t>.</w:t>
      </w:r>
    </w:p>
    <w:p w14:paraId="793B4863" w14:textId="2DA1F265" w:rsidR="00CB75E3" w:rsidRPr="00CB75E3" w:rsidRDefault="00341551" w:rsidP="001354A9">
      <w:pPr>
        <w:pStyle w:val="Bulletleft1last"/>
      </w:pPr>
      <w:r>
        <w:t>15</w:t>
      </w:r>
      <w:r w:rsidR="00ED4205">
        <w:t>3</w:t>
      </w:r>
      <w:r w:rsidR="001354A9">
        <w:t> </w:t>
      </w:r>
      <w:r w:rsidR="00CB75E3" w:rsidRPr="37F15970">
        <w:t xml:space="preserve">adults will </w:t>
      </w:r>
      <w:r w:rsidR="00DA6F3E" w:rsidRPr="37F15970">
        <w:t>start treatment with</w:t>
      </w:r>
      <w:r w:rsidR="00CB75E3" w:rsidRPr="37F15970">
        <w:t xml:space="preserve"> </w:t>
      </w:r>
      <w:r w:rsidR="00D46A46" w:rsidRPr="00D46A46">
        <w:t xml:space="preserve">selinexor </w:t>
      </w:r>
      <w:r w:rsidR="007B1AE8">
        <w:t>plus</w:t>
      </w:r>
      <w:r w:rsidR="00D46A46" w:rsidRPr="00D46A46">
        <w:t xml:space="preserve"> dexamethasone</w:t>
      </w:r>
      <w:r w:rsidR="009327E2" w:rsidRPr="37F15970">
        <w:t xml:space="preserve"> </w:t>
      </w:r>
      <w:r w:rsidR="7187426D" w:rsidRPr="37F15970">
        <w:t xml:space="preserve">each year </w:t>
      </w:r>
      <w:r w:rsidR="00224577" w:rsidRPr="37F15970">
        <w:t>by</w:t>
      </w:r>
      <w:r w:rsidR="00CB75E3" w:rsidRPr="37F15970">
        <w:t xml:space="preserve"> 202</w:t>
      </w:r>
      <w:r>
        <w:t>8</w:t>
      </w:r>
      <w:r w:rsidR="00CB75E3" w:rsidRPr="37F15970">
        <w:t>/</w:t>
      </w:r>
      <w:r w:rsidR="00EA6874" w:rsidRPr="37F15970">
        <w:t>2</w:t>
      </w:r>
      <w:r>
        <w:t>9</w:t>
      </w:r>
      <w:r w:rsidR="00FA6D35" w:rsidRPr="37F15970">
        <w:t xml:space="preserve"> </w:t>
      </w:r>
      <w:r w:rsidR="00F604DE" w:rsidRPr="37F15970">
        <w:t xml:space="preserve">after </w:t>
      </w:r>
      <w:r w:rsidR="00FA6D35" w:rsidRPr="37F15970">
        <w:t>adjust</w:t>
      </w:r>
      <w:r w:rsidR="00F604DE" w:rsidRPr="37F15970">
        <w:t>ing</w:t>
      </w:r>
      <w:r w:rsidR="00FA6D35" w:rsidRPr="37F15970">
        <w:t xml:space="preserve"> for expected population growth</w:t>
      </w:r>
      <w:r w:rsidR="00DA6F3E" w:rsidRPr="37F15970">
        <w:t>. This is</w:t>
      </w:r>
      <w:r w:rsidR="00EA6874" w:rsidRPr="37F15970">
        <w:t xml:space="preserve"> based on </w:t>
      </w:r>
      <w:r w:rsidR="00D85833" w:rsidRPr="37F15970">
        <w:t xml:space="preserve">consultant </w:t>
      </w:r>
      <w:r w:rsidR="00D46A46">
        <w:t>haematologist</w:t>
      </w:r>
      <w:r w:rsidR="00D85833" w:rsidRPr="37F15970">
        <w:t xml:space="preserve"> </w:t>
      </w:r>
      <w:r w:rsidR="00BA345F" w:rsidRPr="37F15970">
        <w:t>opinion</w:t>
      </w:r>
      <w:r w:rsidR="74345DD9" w:rsidRPr="37F15970">
        <w:t>.</w:t>
      </w:r>
    </w:p>
    <w:bookmarkEnd w:id="0"/>
    <w:p w14:paraId="7254E4EA" w14:textId="0D2FAF21" w:rsidR="00CB75E3" w:rsidRPr="00CB75E3" w:rsidRDefault="00CB75E3" w:rsidP="001354A9">
      <w:pPr>
        <w:pStyle w:val="Caption"/>
      </w:pPr>
      <w:r w:rsidRPr="00CB75E3">
        <w:t xml:space="preserve">Table 1 Estimated number of people in England </w:t>
      </w:r>
      <w:r w:rsidR="00DA6F3E">
        <w:t>starting treatment with</w:t>
      </w:r>
      <w:r w:rsidRPr="00CB75E3">
        <w:t xml:space="preserve"> </w:t>
      </w:r>
      <w:r w:rsidR="00D46A46" w:rsidRPr="00D46A46">
        <w:t xml:space="preserve">selinexor with dexamethasone </w:t>
      </w:r>
      <w:r w:rsidR="00DA6F3E">
        <w:t>each year</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number of people in England starting treatment with selinexor with dexamethasone each year"/>
        <w:tblDescription w:val="Percentage uptake, number of people starting treatment after adjusting for population growh and total number of people."/>
      </w:tblPr>
      <w:tblGrid>
        <w:gridCol w:w="3545"/>
        <w:gridCol w:w="1134"/>
        <w:gridCol w:w="1134"/>
        <w:gridCol w:w="1134"/>
        <w:gridCol w:w="1134"/>
        <w:gridCol w:w="1134"/>
      </w:tblGrid>
      <w:tr w:rsidR="00341551" w:rsidRPr="00CB75E3" w14:paraId="4B0BD5F4" w14:textId="77777777" w:rsidTr="00201984">
        <w:trPr>
          <w:trHeight w:val="229"/>
        </w:trPr>
        <w:tc>
          <w:tcPr>
            <w:tcW w:w="3545" w:type="dxa"/>
            <w:shd w:val="clear" w:color="auto" w:fill="auto"/>
          </w:tcPr>
          <w:p w14:paraId="3DDED507" w14:textId="49E97E0E" w:rsidR="00341551" w:rsidRPr="00CB75E3" w:rsidRDefault="001354A9" w:rsidP="00957EB9">
            <w:pPr>
              <w:pStyle w:val="Tableheading"/>
              <w:rPr>
                <w:lang w:val="en-US"/>
              </w:rPr>
            </w:pPr>
            <w:bookmarkStart w:id="2" w:name="_Hlk146025073"/>
            <w:r>
              <w:rPr>
                <w:lang w:val="en-US"/>
              </w:rPr>
              <w:t>-</w:t>
            </w:r>
          </w:p>
        </w:tc>
        <w:tc>
          <w:tcPr>
            <w:tcW w:w="1134" w:type="dxa"/>
            <w:shd w:val="clear" w:color="auto" w:fill="auto"/>
          </w:tcPr>
          <w:p w14:paraId="289F364D" w14:textId="7C2BECB9" w:rsidR="00341551" w:rsidRPr="00CB75E3" w:rsidRDefault="00341551" w:rsidP="00957EB9">
            <w:pPr>
              <w:pStyle w:val="Tableheading"/>
              <w:rPr>
                <w:bCs/>
                <w:lang w:val="en-US"/>
              </w:rPr>
            </w:pPr>
            <w:r w:rsidRPr="00224577">
              <w:rPr>
                <w:bCs/>
                <w:lang w:val="en-US"/>
              </w:rPr>
              <w:t>2024/25</w:t>
            </w:r>
          </w:p>
        </w:tc>
        <w:tc>
          <w:tcPr>
            <w:tcW w:w="1134" w:type="dxa"/>
            <w:shd w:val="clear" w:color="auto" w:fill="auto"/>
          </w:tcPr>
          <w:p w14:paraId="7EF2E9C2" w14:textId="3C255E55" w:rsidR="00341551" w:rsidRPr="00CB75E3" w:rsidRDefault="00341551" w:rsidP="00957EB9">
            <w:pPr>
              <w:pStyle w:val="Tableheading"/>
              <w:rPr>
                <w:bCs/>
                <w:lang w:val="en-US"/>
              </w:rPr>
            </w:pPr>
            <w:r w:rsidRPr="00224577">
              <w:rPr>
                <w:bCs/>
                <w:lang w:val="en-US"/>
              </w:rPr>
              <w:t>2025/26</w:t>
            </w:r>
          </w:p>
        </w:tc>
        <w:tc>
          <w:tcPr>
            <w:tcW w:w="1134" w:type="dxa"/>
            <w:shd w:val="clear" w:color="auto" w:fill="auto"/>
          </w:tcPr>
          <w:p w14:paraId="47FEA3BF" w14:textId="00A0B6BA" w:rsidR="00341551" w:rsidRPr="00CB75E3" w:rsidRDefault="00341551" w:rsidP="00957EB9">
            <w:pPr>
              <w:pStyle w:val="Tableheading"/>
              <w:rPr>
                <w:bCs/>
                <w:lang w:val="en-US"/>
              </w:rPr>
            </w:pPr>
            <w:r w:rsidRPr="00224577">
              <w:rPr>
                <w:bCs/>
                <w:lang w:val="en-US"/>
              </w:rPr>
              <w:t>2026/27</w:t>
            </w:r>
          </w:p>
        </w:tc>
        <w:tc>
          <w:tcPr>
            <w:tcW w:w="1134" w:type="dxa"/>
            <w:shd w:val="clear" w:color="auto" w:fill="auto"/>
          </w:tcPr>
          <w:p w14:paraId="0EDCC25D" w14:textId="308EBADD" w:rsidR="00341551" w:rsidRPr="00CB75E3" w:rsidRDefault="00341551" w:rsidP="00957EB9">
            <w:pPr>
              <w:pStyle w:val="Tableheading"/>
              <w:rPr>
                <w:bCs/>
                <w:lang w:val="en-US"/>
              </w:rPr>
            </w:pPr>
            <w:r w:rsidRPr="00CB75E3">
              <w:rPr>
                <w:bCs/>
                <w:lang w:val="en-US"/>
              </w:rPr>
              <w:t>202</w:t>
            </w:r>
            <w:r>
              <w:rPr>
                <w:bCs/>
                <w:lang w:val="en-US"/>
              </w:rPr>
              <w:t>7</w:t>
            </w:r>
            <w:r w:rsidRPr="00CB75E3">
              <w:rPr>
                <w:bCs/>
                <w:lang w:val="en-US"/>
              </w:rPr>
              <w:t>/2</w:t>
            </w:r>
            <w:r>
              <w:rPr>
                <w:bCs/>
                <w:lang w:val="en-US"/>
              </w:rPr>
              <w:t>8</w:t>
            </w:r>
          </w:p>
        </w:tc>
        <w:tc>
          <w:tcPr>
            <w:tcW w:w="1134" w:type="dxa"/>
            <w:shd w:val="clear" w:color="auto" w:fill="auto"/>
          </w:tcPr>
          <w:p w14:paraId="46191372" w14:textId="0F952673" w:rsidR="00341551" w:rsidRPr="00CB75E3" w:rsidRDefault="00341551" w:rsidP="00957EB9">
            <w:pPr>
              <w:pStyle w:val="Tableheading"/>
              <w:rPr>
                <w:bCs/>
                <w:lang w:val="en-US"/>
              </w:rPr>
            </w:pPr>
            <w:r w:rsidRPr="00341551">
              <w:rPr>
                <w:bCs/>
                <w:lang w:val="en-US"/>
              </w:rPr>
              <w:t>202</w:t>
            </w:r>
            <w:r>
              <w:rPr>
                <w:bCs/>
                <w:lang w:val="en-US"/>
              </w:rPr>
              <w:t>8</w:t>
            </w:r>
            <w:r w:rsidRPr="00341551">
              <w:rPr>
                <w:bCs/>
                <w:lang w:val="en-US"/>
              </w:rPr>
              <w:t>/2</w:t>
            </w:r>
            <w:r>
              <w:rPr>
                <w:bCs/>
                <w:lang w:val="en-US"/>
              </w:rPr>
              <w:t>9</w:t>
            </w:r>
          </w:p>
        </w:tc>
      </w:tr>
      <w:tr w:rsidR="00CB75E3" w:rsidRPr="00CB75E3" w14:paraId="06481C0D" w14:textId="77777777" w:rsidTr="003329AB">
        <w:tc>
          <w:tcPr>
            <w:tcW w:w="3545" w:type="dxa"/>
            <w:shd w:val="clear" w:color="auto" w:fill="auto"/>
          </w:tcPr>
          <w:p w14:paraId="201BCDCE" w14:textId="77777777" w:rsidR="00CB75E3" w:rsidRPr="00CB75E3" w:rsidRDefault="00CB75E3" w:rsidP="00CB75E3">
            <w:pPr>
              <w:keepNext/>
              <w:spacing w:after="60"/>
              <w:rPr>
                <w:rFonts w:ascii="Arial" w:hAnsi="Arial"/>
                <w:sz w:val="22"/>
                <w:szCs w:val="22"/>
                <w:lang w:val="en-US"/>
              </w:rPr>
            </w:pPr>
            <w:r w:rsidRPr="00CB75E3">
              <w:rPr>
                <w:rFonts w:ascii="Arial" w:hAnsi="Arial"/>
                <w:sz w:val="22"/>
                <w:szCs w:val="22"/>
                <w:lang w:val="en-US"/>
              </w:rPr>
              <w:t>Uptake %</w:t>
            </w:r>
          </w:p>
        </w:tc>
        <w:tc>
          <w:tcPr>
            <w:tcW w:w="1134" w:type="dxa"/>
            <w:shd w:val="clear" w:color="auto" w:fill="auto"/>
          </w:tcPr>
          <w:p w14:paraId="65B31B58" w14:textId="7DAC9AFF" w:rsidR="00CB75E3" w:rsidRPr="00CB75E3" w:rsidRDefault="0083507D" w:rsidP="00CB75E3">
            <w:pPr>
              <w:keepNext/>
              <w:spacing w:after="60"/>
              <w:jc w:val="right"/>
              <w:rPr>
                <w:rFonts w:ascii="Arial" w:hAnsi="Arial"/>
                <w:sz w:val="22"/>
                <w:szCs w:val="22"/>
                <w:lang w:val="en-US"/>
              </w:rPr>
            </w:pPr>
            <w:r>
              <w:rPr>
                <w:rFonts w:ascii="Arial" w:hAnsi="Arial"/>
                <w:sz w:val="22"/>
                <w:szCs w:val="22"/>
                <w:lang w:val="en-US"/>
              </w:rPr>
              <w:t>3</w:t>
            </w:r>
            <w:r w:rsidR="00FD41D0">
              <w:rPr>
                <w:rFonts w:ascii="Arial" w:hAnsi="Arial"/>
                <w:sz w:val="22"/>
                <w:szCs w:val="22"/>
                <w:lang w:val="en-US"/>
              </w:rPr>
              <w:t>3</w:t>
            </w:r>
          </w:p>
        </w:tc>
        <w:tc>
          <w:tcPr>
            <w:tcW w:w="1134" w:type="dxa"/>
            <w:shd w:val="clear" w:color="auto" w:fill="auto"/>
          </w:tcPr>
          <w:p w14:paraId="232CF210" w14:textId="352F0C56" w:rsidR="00CB75E3" w:rsidRPr="00CB75E3" w:rsidRDefault="00FD41D0" w:rsidP="00CB75E3">
            <w:pPr>
              <w:keepNext/>
              <w:spacing w:after="60"/>
              <w:jc w:val="right"/>
              <w:rPr>
                <w:rFonts w:ascii="Arial" w:hAnsi="Arial"/>
                <w:sz w:val="22"/>
                <w:szCs w:val="22"/>
                <w:lang w:val="en-US"/>
              </w:rPr>
            </w:pPr>
            <w:r>
              <w:rPr>
                <w:rFonts w:ascii="Arial" w:hAnsi="Arial"/>
                <w:sz w:val="22"/>
                <w:szCs w:val="22"/>
                <w:lang w:val="en-US"/>
              </w:rPr>
              <w:t>33</w:t>
            </w:r>
          </w:p>
        </w:tc>
        <w:tc>
          <w:tcPr>
            <w:tcW w:w="1134" w:type="dxa"/>
            <w:shd w:val="clear" w:color="auto" w:fill="auto"/>
          </w:tcPr>
          <w:p w14:paraId="0E4F034B" w14:textId="2196053B" w:rsidR="00CB75E3" w:rsidRPr="00CB75E3" w:rsidRDefault="00FD41D0" w:rsidP="00CB75E3">
            <w:pPr>
              <w:keepNext/>
              <w:spacing w:after="60"/>
              <w:jc w:val="right"/>
              <w:rPr>
                <w:rFonts w:ascii="Arial" w:hAnsi="Arial"/>
                <w:sz w:val="22"/>
                <w:szCs w:val="22"/>
                <w:lang w:val="en-US"/>
              </w:rPr>
            </w:pPr>
            <w:r>
              <w:rPr>
                <w:rFonts w:ascii="Arial" w:hAnsi="Arial"/>
                <w:sz w:val="22"/>
                <w:szCs w:val="22"/>
                <w:lang w:val="en-US"/>
              </w:rPr>
              <w:t>33</w:t>
            </w:r>
          </w:p>
        </w:tc>
        <w:tc>
          <w:tcPr>
            <w:tcW w:w="1134" w:type="dxa"/>
            <w:shd w:val="clear" w:color="auto" w:fill="auto"/>
          </w:tcPr>
          <w:p w14:paraId="083DFF8F" w14:textId="4BC55428" w:rsidR="00CB75E3" w:rsidRPr="00CB75E3" w:rsidRDefault="00FD41D0" w:rsidP="00CB75E3">
            <w:pPr>
              <w:keepNext/>
              <w:spacing w:after="60"/>
              <w:jc w:val="right"/>
              <w:rPr>
                <w:rFonts w:ascii="Arial" w:hAnsi="Arial"/>
                <w:sz w:val="22"/>
                <w:szCs w:val="22"/>
                <w:lang w:val="en-US"/>
              </w:rPr>
            </w:pPr>
            <w:r>
              <w:rPr>
                <w:rFonts w:ascii="Arial" w:hAnsi="Arial"/>
                <w:sz w:val="22"/>
                <w:szCs w:val="22"/>
                <w:lang w:val="en-US"/>
              </w:rPr>
              <w:t>33</w:t>
            </w:r>
          </w:p>
        </w:tc>
        <w:tc>
          <w:tcPr>
            <w:tcW w:w="1134" w:type="dxa"/>
            <w:shd w:val="clear" w:color="auto" w:fill="auto"/>
          </w:tcPr>
          <w:p w14:paraId="4D81C3FA" w14:textId="5A96BB10" w:rsidR="009327E2" w:rsidRPr="00CB75E3" w:rsidRDefault="00FD41D0" w:rsidP="009327E2">
            <w:pPr>
              <w:tabs>
                <w:tab w:val="left" w:pos="1134"/>
              </w:tabs>
              <w:jc w:val="right"/>
              <w:rPr>
                <w:rFonts w:ascii="Arial" w:hAnsi="Arial"/>
                <w:sz w:val="22"/>
                <w:szCs w:val="22"/>
                <w:lang w:val="en-US"/>
              </w:rPr>
            </w:pPr>
            <w:r>
              <w:rPr>
                <w:rFonts w:ascii="Arial" w:hAnsi="Arial"/>
                <w:sz w:val="22"/>
                <w:szCs w:val="22"/>
                <w:lang w:val="en-US"/>
              </w:rPr>
              <w:t>33</w:t>
            </w:r>
          </w:p>
        </w:tc>
      </w:tr>
      <w:tr w:rsidR="00A76CA9" w:rsidRPr="00CB75E3" w14:paraId="151AE231" w14:textId="77777777" w:rsidTr="003329AB">
        <w:tc>
          <w:tcPr>
            <w:tcW w:w="3545" w:type="dxa"/>
            <w:shd w:val="clear" w:color="auto" w:fill="auto"/>
          </w:tcPr>
          <w:p w14:paraId="1768C41D" w14:textId="28B3907A" w:rsidR="00A76CA9" w:rsidRPr="00CB75E3" w:rsidRDefault="00A76CA9" w:rsidP="00A76CA9">
            <w:pPr>
              <w:keepNext/>
              <w:spacing w:after="60"/>
              <w:rPr>
                <w:rFonts w:ascii="Arial" w:hAnsi="Arial"/>
                <w:sz w:val="22"/>
                <w:szCs w:val="22"/>
                <w:lang w:val="en-US"/>
              </w:rPr>
            </w:pPr>
            <w:r w:rsidRPr="00CB75E3">
              <w:rPr>
                <w:rFonts w:ascii="Arial" w:hAnsi="Arial"/>
                <w:sz w:val="22"/>
                <w:szCs w:val="22"/>
                <w:lang w:val="en-US"/>
              </w:rPr>
              <w:t xml:space="preserve">People </w:t>
            </w:r>
            <w:r>
              <w:rPr>
                <w:rFonts w:ascii="Arial" w:hAnsi="Arial"/>
                <w:sz w:val="22"/>
                <w:szCs w:val="22"/>
                <w:lang w:val="en-US"/>
              </w:rPr>
              <w:t>starting treatment with</w:t>
            </w:r>
            <w:r w:rsidRPr="00CB75E3">
              <w:rPr>
                <w:rFonts w:ascii="Arial" w:hAnsi="Arial"/>
                <w:sz w:val="22"/>
                <w:szCs w:val="22"/>
                <w:lang w:val="en-US"/>
              </w:rPr>
              <w:t xml:space="preserve"> </w:t>
            </w:r>
            <w:r w:rsidRPr="00D46A46">
              <w:rPr>
                <w:rFonts w:ascii="Arial" w:hAnsi="Arial"/>
                <w:sz w:val="22"/>
                <w:szCs w:val="22"/>
                <w:lang w:val="en-US"/>
              </w:rPr>
              <w:t xml:space="preserve">selinexor </w:t>
            </w:r>
            <w:r>
              <w:rPr>
                <w:rFonts w:ascii="Arial" w:hAnsi="Arial"/>
                <w:sz w:val="22"/>
                <w:szCs w:val="22"/>
                <w:lang w:val="en-US"/>
              </w:rPr>
              <w:t>plus</w:t>
            </w:r>
            <w:r w:rsidRPr="00D46A46">
              <w:rPr>
                <w:rFonts w:ascii="Arial" w:hAnsi="Arial"/>
                <w:sz w:val="22"/>
                <w:szCs w:val="22"/>
                <w:lang w:val="en-US"/>
              </w:rPr>
              <w:t xml:space="preserve"> dexamethasone</w:t>
            </w:r>
            <w:r w:rsidRPr="009327E2">
              <w:rPr>
                <w:rFonts w:ascii="Arial" w:hAnsi="Arial"/>
                <w:sz w:val="22"/>
                <w:szCs w:val="22"/>
                <w:lang w:val="en-US"/>
              </w:rPr>
              <w:t xml:space="preserve"> </w:t>
            </w:r>
            <w:r>
              <w:rPr>
                <w:rFonts w:ascii="Arial" w:hAnsi="Arial"/>
                <w:sz w:val="22"/>
                <w:szCs w:val="22"/>
                <w:lang w:val="en-US"/>
              </w:rPr>
              <w:t>after adjusting for population growth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385884" w14:textId="076DB4EF" w:rsidR="00A76CA9" w:rsidRPr="0026738D" w:rsidRDefault="00A76CA9" w:rsidP="00A76CA9">
            <w:pPr>
              <w:keepNext/>
              <w:spacing w:after="60"/>
              <w:jc w:val="right"/>
              <w:rPr>
                <w:rFonts w:ascii="Arial" w:hAnsi="Arial" w:cs="Arial"/>
                <w:sz w:val="22"/>
                <w:szCs w:val="22"/>
                <w:lang w:val="en-US"/>
              </w:rPr>
            </w:pPr>
            <w:r w:rsidRPr="0026738D">
              <w:rPr>
                <w:rFonts w:ascii="Arial" w:hAnsi="Arial" w:cs="Arial"/>
                <w:color w:val="000000"/>
                <w:sz w:val="22"/>
                <w:szCs w:val="22"/>
              </w:rPr>
              <w:t>147</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A87A78" w14:textId="5AA966A9" w:rsidR="00A76CA9" w:rsidRPr="0026738D" w:rsidRDefault="00A76CA9" w:rsidP="00A76CA9">
            <w:pPr>
              <w:keepNext/>
              <w:spacing w:after="60"/>
              <w:jc w:val="right"/>
              <w:rPr>
                <w:rFonts w:ascii="Arial" w:hAnsi="Arial" w:cs="Arial"/>
                <w:sz w:val="22"/>
                <w:szCs w:val="22"/>
                <w:lang w:val="en-US"/>
              </w:rPr>
            </w:pPr>
            <w:r w:rsidRPr="0026738D">
              <w:rPr>
                <w:rFonts w:ascii="Arial" w:hAnsi="Arial" w:cs="Arial"/>
                <w:color w:val="000000"/>
                <w:sz w:val="22"/>
                <w:szCs w:val="22"/>
              </w:rPr>
              <w:t>149</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6F4879" w14:textId="7F3E5872" w:rsidR="00A76CA9" w:rsidRPr="0026738D" w:rsidRDefault="00A76CA9" w:rsidP="00A76CA9">
            <w:pPr>
              <w:keepNext/>
              <w:spacing w:after="60"/>
              <w:jc w:val="right"/>
              <w:rPr>
                <w:rFonts w:ascii="Arial" w:hAnsi="Arial" w:cs="Arial"/>
                <w:sz w:val="22"/>
                <w:szCs w:val="22"/>
                <w:lang w:val="en-US"/>
              </w:rPr>
            </w:pPr>
            <w:r w:rsidRPr="0026738D">
              <w:rPr>
                <w:rFonts w:ascii="Arial" w:hAnsi="Arial" w:cs="Arial"/>
                <w:color w:val="000000"/>
                <w:sz w:val="22"/>
                <w:szCs w:val="22"/>
              </w:rPr>
              <w:t>150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3C45F7" w14:textId="79F6A393" w:rsidR="00A76CA9" w:rsidRPr="0026738D" w:rsidRDefault="00A76CA9" w:rsidP="00A76CA9">
            <w:pPr>
              <w:keepNext/>
              <w:spacing w:after="60"/>
              <w:jc w:val="right"/>
              <w:rPr>
                <w:rFonts w:ascii="Arial" w:hAnsi="Arial" w:cs="Arial"/>
                <w:sz w:val="22"/>
                <w:szCs w:val="22"/>
                <w:lang w:val="en-US"/>
              </w:rPr>
            </w:pPr>
            <w:r w:rsidRPr="0026738D">
              <w:rPr>
                <w:rFonts w:ascii="Arial" w:hAnsi="Arial" w:cs="Arial"/>
                <w:color w:val="000000"/>
                <w:sz w:val="22"/>
                <w:szCs w:val="22"/>
              </w:rPr>
              <w:t>15</w:t>
            </w:r>
            <w:r>
              <w:rPr>
                <w:rFonts w:ascii="Arial" w:hAnsi="Arial" w:cs="Arial"/>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54DFCF" w14:textId="3C7CE5F9" w:rsidR="00A76CA9" w:rsidRPr="0026738D" w:rsidRDefault="00A76CA9" w:rsidP="00A76CA9">
            <w:pPr>
              <w:keepNext/>
              <w:spacing w:after="60"/>
              <w:jc w:val="right"/>
              <w:rPr>
                <w:rFonts w:ascii="Arial" w:hAnsi="Arial" w:cs="Arial"/>
                <w:sz w:val="22"/>
                <w:szCs w:val="22"/>
                <w:lang w:val="en-US"/>
              </w:rPr>
            </w:pPr>
            <w:r w:rsidRPr="0026738D">
              <w:rPr>
                <w:rFonts w:ascii="Arial" w:hAnsi="Arial" w:cs="Arial"/>
                <w:color w:val="000000"/>
                <w:sz w:val="22"/>
                <w:szCs w:val="22"/>
              </w:rPr>
              <w:t>15</w:t>
            </w:r>
            <w:r>
              <w:rPr>
                <w:rFonts w:ascii="Arial" w:hAnsi="Arial" w:cs="Arial"/>
                <w:color w:val="000000"/>
                <w:sz w:val="22"/>
                <w:szCs w:val="22"/>
              </w:rPr>
              <w:t>3</w:t>
            </w:r>
          </w:p>
        </w:tc>
      </w:tr>
      <w:tr w:rsidR="00A76CA9" w:rsidRPr="00CB75E3" w14:paraId="1CA38839" w14:textId="77777777" w:rsidTr="003329AB">
        <w:tc>
          <w:tcPr>
            <w:tcW w:w="3545" w:type="dxa"/>
            <w:shd w:val="clear" w:color="auto" w:fill="auto"/>
          </w:tcPr>
          <w:p w14:paraId="43642B0C" w14:textId="77777777" w:rsidR="00A76CA9" w:rsidRPr="00D46A46" w:rsidRDefault="00A76CA9" w:rsidP="00A76CA9">
            <w:pPr>
              <w:keepNext/>
              <w:spacing w:after="60"/>
              <w:rPr>
                <w:rFonts w:ascii="Arial" w:hAnsi="Arial" w:cs="Arial"/>
                <w:b/>
                <w:bCs/>
                <w:sz w:val="22"/>
                <w:szCs w:val="22"/>
                <w:lang w:val="en-US"/>
              </w:rPr>
            </w:pPr>
            <w:r w:rsidRPr="00D46A46">
              <w:rPr>
                <w:rFonts w:ascii="Arial" w:hAnsi="Arial" w:cs="Arial"/>
                <w:b/>
                <w:bCs/>
                <w:sz w:val="22"/>
                <w:szCs w:val="22"/>
                <w:lang w:val="en-US"/>
              </w:rPr>
              <w:t>Total number of people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D43C81" w14:textId="0E6753A6" w:rsidR="00A76CA9" w:rsidRPr="00A76CA9" w:rsidRDefault="00A76CA9" w:rsidP="00A76CA9">
            <w:pPr>
              <w:keepNext/>
              <w:spacing w:after="60"/>
              <w:jc w:val="right"/>
              <w:rPr>
                <w:rFonts w:ascii="Arial" w:hAnsi="Arial" w:cs="Arial"/>
                <w:b/>
                <w:bCs/>
                <w:sz w:val="22"/>
                <w:szCs w:val="22"/>
                <w:lang w:val="en-US"/>
              </w:rPr>
            </w:pPr>
            <w:r w:rsidRPr="00A76CA9">
              <w:rPr>
                <w:rFonts w:ascii="Arial" w:hAnsi="Arial" w:cs="Arial"/>
                <w:b/>
                <w:bCs/>
                <w:color w:val="000000"/>
                <w:sz w:val="22"/>
                <w:szCs w:val="22"/>
              </w:rPr>
              <w:t>147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221634" w14:textId="11019136" w:rsidR="00A76CA9" w:rsidRPr="00A76CA9" w:rsidRDefault="00A76CA9" w:rsidP="00A76CA9">
            <w:pPr>
              <w:keepNext/>
              <w:spacing w:after="60"/>
              <w:jc w:val="right"/>
              <w:rPr>
                <w:rFonts w:ascii="Arial" w:hAnsi="Arial" w:cs="Arial"/>
                <w:b/>
                <w:bCs/>
                <w:sz w:val="22"/>
                <w:szCs w:val="22"/>
                <w:lang w:val="en-US"/>
              </w:rPr>
            </w:pPr>
            <w:r w:rsidRPr="00A76CA9">
              <w:rPr>
                <w:rFonts w:ascii="Arial" w:hAnsi="Arial" w:cs="Arial"/>
                <w:b/>
                <w:bCs/>
                <w:color w:val="000000"/>
                <w:sz w:val="22"/>
                <w:szCs w:val="22"/>
              </w:rPr>
              <w:t>149</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BA8DBF" w14:textId="379812F2" w:rsidR="00A76CA9" w:rsidRPr="00A76CA9" w:rsidRDefault="00A76CA9" w:rsidP="00A76CA9">
            <w:pPr>
              <w:keepNext/>
              <w:spacing w:after="60"/>
              <w:jc w:val="right"/>
              <w:rPr>
                <w:rFonts w:ascii="Arial" w:hAnsi="Arial" w:cs="Arial"/>
                <w:b/>
                <w:bCs/>
                <w:color w:val="000000"/>
                <w:sz w:val="22"/>
                <w:szCs w:val="22"/>
              </w:rPr>
            </w:pPr>
            <w:r w:rsidRPr="00A76CA9">
              <w:rPr>
                <w:rFonts w:ascii="Arial" w:hAnsi="Arial" w:cs="Arial"/>
                <w:b/>
                <w:bCs/>
                <w:color w:val="000000"/>
                <w:sz w:val="22"/>
                <w:szCs w:val="22"/>
              </w:rPr>
              <w:t>150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DCD5D1" w14:textId="1E7E3A1E" w:rsidR="00A76CA9" w:rsidRPr="00A76CA9" w:rsidRDefault="00A76CA9" w:rsidP="00A76CA9">
            <w:pPr>
              <w:keepNext/>
              <w:spacing w:after="60"/>
              <w:jc w:val="right"/>
              <w:rPr>
                <w:rFonts w:ascii="Arial" w:hAnsi="Arial" w:cs="Arial"/>
                <w:b/>
                <w:bCs/>
                <w:color w:val="000000"/>
                <w:sz w:val="22"/>
                <w:szCs w:val="22"/>
              </w:rPr>
            </w:pPr>
            <w:r w:rsidRPr="00A76CA9">
              <w:rPr>
                <w:rFonts w:ascii="Arial" w:hAnsi="Arial" w:cs="Arial"/>
                <w:b/>
                <w:bCs/>
                <w:color w:val="000000"/>
                <w:sz w:val="22"/>
                <w:szCs w:val="22"/>
              </w:rPr>
              <w:t>151</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038F76" w14:textId="67E74F32" w:rsidR="00A76CA9" w:rsidRPr="00A76CA9" w:rsidRDefault="00A76CA9" w:rsidP="00A76CA9">
            <w:pPr>
              <w:keepNext/>
              <w:spacing w:after="60"/>
              <w:jc w:val="right"/>
              <w:rPr>
                <w:rFonts w:ascii="Arial" w:hAnsi="Arial" w:cs="Arial"/>
                <w:b/>
                <w:bCs/>
                <w:sz w:val="22"/>
                <w:szCs w:val="22"/>
                <w:lang w:val="en-US"/>
              </w:rPr>
            </w:pPr>
            <w:r w:rsidRPr="00A76CA9">
              <w:rPr>
                <w:rFonts w:ascii="Arial" w:hAnsi="Arial" w:cs="Arial"/>
                <w:b/>
                <w:bCs/>
                <w:color w:val="000000"/>
                <w:sz w:val="22"/>
                <w:szCs w:val="22"/>
              </w:rPr>
              <w:t>153</w:t>
            </w:r>
          </w:p>
        </w:tc>
      </w:tr>
      <w:tr w:rsidR="00DD2CBA" w:rsidRPr="00CB75E3" w14:paraId="6D6A4477" w14:textId="77777777" w:rsidTr="003329AB">
        <w:tc>
          <w:tcPr>
            <w:tcW w:w="9215" w:type="dxa"/>
            <w:gridSpan w:val="6"/>
            <w:shd w:val="clear" w:color="auto" w:fill="auto"/>
          </w:tcPr>
          <w:p w14:paraId="31C854CF" w14:textId="686A787E" w:rsidR="00DD2CBA" w:rsidRPr="00CB75E3" w:rsidRDefault="00DD2CBA" w:rsidP="00DD2CBA">
            <w:pPr>
              <w:tabs>
                <w:tab w:val="left" w:pos="1134"/>
              </w:tabs>
              <w:rPr>
                <w:rFonts w:ascii="Arial" w:hAnsi="Arial"/>
                <w:b/>
                <w:bCs/>
                <w:lang w:val="en-US"/>
              </w:rPr>
            </w:pPr>
            <w:r w:rsidRPr="00DD2CBA">
              <w:rPr>
                <w:rFonts w:ascii="Arial" w:hAnsi="Arial"/>
                <w:sz w:val="20"/>
                <w:szCs w:val="20"/>
                <w:lang w:val="en-US"/>
              </w:rPr>
              <w:t xml:space="preserve">It is anticipated people continue treatment for </w:t>
            </w:r>
            <w:r w:rsidR="006B730E">
              <w:rPr>
                <w:rFonts w:ascii="Arial" w:hAnsi="Arial"/>
                <w:sz w:val="20"/>
                <w:szCs w:val="20"/>
                <w:lang w:val="en-US"/>
              </w:rPr>
              <w:t>3</w:t>
            </w:r>
            <w:r w:rsidR="007D66D2">
              <w:rPr>
                <w:rFonts w:ascii="Arial" w:hAnsi="Arial"/>
                <w:sz w:val="20"/>
                <w:szCs w:val="20"/>
                <w:lang w:val="en-US"/>
              </w:rPr>
              <w:t xml:space="preserve"> months</w:t>
            </w:r>
            <w:r w:rsidRPr="00DD2CBA">
              <w:rPr>
                <w:rFonts w:ascii="Arial" w:hAnsi="Arial"/>
                <w:sz w:val="20"/>
                <w:szCs w:val="20"/>
                <w:lang w:val="en-US"/>
              </w:rPr>
              <w:t xml:space="preserve"> on average</w:t>
            </w:r>
            <w:r w:rsidRPr="00DD2CBA">
              <w:rPr>
                <w:rFonts w:ascii="Arial" w:hAnsi="Arial"/>
                <w:b/>
                <w:bCs/>
                <w:lang w:val="en-US"/>
              </w:rPr>
              <w:t>.</w:t>
            </w:r>
          </w:p>
        </w:tc>
      </w:tr>
    </w:tbl>
    <w:bookmarkEnd w:id="1"/>
    <w:bookmarkEnd w:id="2"/>
    <w:p w14:paraId="38C04EBA" w14:textId="27FA2679" w:rsidR="00810615" w:rsidRDefault="00810615" w:rsidP="00810615">
      <w:pPr>
        <w:spacing w:after="240" w:line="360" w:lineRule="auto"/>
        <w:rPr>
          <w:rFonts w:ascii="Arial" w:hAnsi="Arial"/>
          <w:lang w:val="en-US"/>
        </w:rPr>
      </w:pPr>
      <w:r w:rsidRPr="00810615">
        <w:rPr>
          <w:rFonts w:ascii="Arial" w:hAnsi="Arial"/>
          <w:lang w:val="en-US"/>
        </w:rPr>
        <w:t xml:space="preserve">This report is supported by a local resource impact template. This is because the company has a commercial arrangement. This makes selinexor available to the NHS with a discount. The size of the discount is commercial in confidence. It is the company’s responsibility to let relevant NHS organisations know details of the discount </w:t>
      </w:r>
      <w:r w:rsidRPr="00CB75E3">
        <w:rPr>
          <w:rFonts w:ascii="Arial" w:hAnsi="Arial"/>
          <w:lang w:val="en-US"/>
        </w:rPr>
        <w:t>This technology is commissioned by NHS England. Providers are NHS hospital trusts.</w:t>
      </w:r>
    </w:p>
    <w:p w14:paraId="11C8E9C9" w14:textId="71FC357A" w:rsidR="00CB75E3" w:rsidRPr="00CB75E3" w:rsidRDefault="009314D9" w:rsidP="00CB75E3">
      <w:pPr>
        <w:pStyle w:val="Numberedheading1"/>
      </w:pPr>
      <w:r w:rsidRPr="009314D9">
        <w:t>Selinexor with dexamethasone</w:t>
      </w:r>
    </w:p>
    <w:p w14:paraId="194ED1D5" w14:textId="7381C36D" w:rsidR="00176F83" w:rsidRDefault="009314D9" w:rsidP="00760B3E">
      <w:pPr>
        <w:pStyle w:val="Numberedlevel2text"/>
      </w:pPr>
      <w:r w:rsidRPr="009314D9">
        <w:t>Multiple myeloma is an incurable, relapsing and remitting cancer of plasma cells. Relapsed multiple myeloma refers to previously treated myeloma that has progressed. Refractory refers to multiple myeloma that shows no response to treatment or that has progressed within 60</w:t>
      </w:r>
      <w:r w:rsidR="001354A9">
        <w:t> </w:t>
      </w:r>
      <w:r w:rsidRPr="009314D9">
        <w:t>days of the last treatment.</w:t>
      </w:r>
    </w:p>
    <w:p w14:paraId="366023A6" w14:textId="6F2635CB" w:rsidR="007D5027" w:rsidRDefault="001354A9" w:rsidP="00760B3E">
      <w:pPr>
        <w:pStyle w:val="Numberedlevel2text"/>
      </w:pPr>
      <w:r>
        <w:t>The p</w:t>
      </w:r>
      <w:r w:rsidR="001F2645" w:rsidRPr="001F2645">
        <w:t xml:space="preserve">atient experts explained </w:t>
      </w:r>
      <w:r w:rsidR="00883B7F" w:rsidRPr="00883B7F">
        <w:t>that the complications of multiple myeloma can be significant and debilitating</w:t>
      </w:r>
      <w:r w:rsidR="00883B7F">
        <w:t>.</w:t>
      </w:r>
    </w:p>
    <w:p w14:paraId="5CEEBB1B" w14:textId="53251EE8" w:rsidR="005F6EB7" w:rsidRDefault="009314D9" w:rsidP="00FC2F7E">
      <w:pPr>
        <w:pStyle w:val="Numberedlevel2text"/>
      </w:pPr>
      <w:r w:rsidRPr="009314D9">
        <w:t xml:space="preserve">The clinical experts </w:t>
      </w:r>
      <w:r w:rsidR="005F6EB7">
        <w:t>explained that the main aim of treatment is to reduce the severity and duration of symptoms, reduce morbidity associated with disease progression and extend life.</w:t>
      </w:r>
    </w:p>
    <w:p w14:paraId="2B4B543B" w14:textId="095ABAEB" w:rsidR="009314D9" w:rsidRDefault="00C13442" w:rsidP="009314D9">
      <w:pPr>
        <w:pStyle w:val="Numberedlevel2text"/>
      </w:pPr>
      <w:r>
        <w:t>The</w:t>
      </w:r>
      <w:r w:rsidRPr="00C13442">
        <w:t xml:space="preserve"> relevant population is people who have had at least 4</w:t>
      </w:r>
      <w:r w:rsidR="001354A9">
        <w:t> </w:t>
      </w:r>
      <w:r w:rsidRPr="00C13442">
        <w:t>prior lines of treatment. Their condition also must be refractory to 2</w:t>
      </w:r>
      <w:r w:rsidR="001354A9">
        <w:t> </w:t>
      </w:r>
      <w:r w:rsidRPr="00C13442">
        <w:t>proteasome inhibitors, 2</w:t>
      </w:r>
      <w:r w:rsidR="001354A9">
        <w:t> </w:t>
      </w:r>
      <w:r w:rsidRPr="00C13442">
        <w:t>immunomodulatory agents and an anti</w:t>
      </w:r>
      <w:r w:rsidR="001354A9">
        <w:noBreakHyphen/>
      </w:r>
      <w:r w:rsidRPr="00C13442">
        <w:t>CD38 monoclonal antibody (‘penta-refractory’).</w:t>
      </w:r>
    </w:p>
    <w:p w14:paraId="5D8667A6" w14:textId="2777C227" w:rsidR="00A4368D" w:rsidRPr="00A4368D" w:rsidRDefault="00A4368D" w:rsidP="007D44CB">
      <w:pPr>
        <w:pStyle w:val="Numberedlevel2text"/>
      </w:pPr>
      <w:r>
        <w:t>Best supportive care</w:t>
      </w:r>
      <w:r w:rsidRPr="00A4368D">
        <w:t xml:space="preserve"> </w:t>
      </w:r>
      <w:r w:rsidR="00D4439A">
        <w:t>i</w:t>
      </w:r>
      <w:r w:rsidRPr="00A4368D">
        <w:t>s the relevant comparator for selinexor with dexamethasone for the treatment of multiple myeloma</w:t>
      </w:r>
      <w:r>
        <w:t xml:space="preserve"> after 4</w:t>
      </w:r>
      <w:r w:rsidR="001354A9">
        <w:t> </w:t>
      </w:r>
      <w:r>
        <w:t>or more treatments, and the condition is refractory to at least 2</w:t>
      </w:r>
      <w:r w:rsidR="001354A9">
        <w:t> </w:t>
      </w:r>
      <w:r>
        <w:t>proteasome inhibitors, 2</w:t>
      </w:r>
      <w:r w:rsidR="001354A9">
        <w:t> </w:t>
      </w:r>
      <w:r w:rsidR="00D4439A">
        <w:t>i</w:t>
      </w:r>
      <w:r>
        <w:t>mmunomodulatory agents and an anti</w:t>
      </w:r>
      <w:r w:rsidR="001354A9">
        <w:noBreakHyphen/>
      </w:r>
      <w:r>
        <w:t>CD38 monoclonal antibody (penta-refractory), and the condition has progressed on the last treatment.</w:t>
      </w:r>
    </w:p>
    <w:p w14:paraId="407745D7" w14:textId="3327AD86" w:rsidR="001F2645" w:rsidRDefault="00202B25" w:rsidP="00AD2298">
      <w:pPr>
        <w:pStyle w:val="Numberedlevel2text"/>
      </w:pPr>
      <w:r>
        <w:t>E</w:t>
      </w:r>
      <w:r w:rsidRPr="00202B25">
        <w:t xml:space="preserve">vidence </w:t>
      </w:r>
      <w:r w:rsidR="00DF306A" w:rsidRPr="00DF306A">
        <w:t xml:space="preserve">from indirect comparisons suggests that </w:t>
      </w:r>
      <w:r w:rsidR="00CD51EC">
        <w:t>s</w:t>
      </w:r>
      <w:r w:rsidR="00DF306A" w:rsidRPr="00DF306A">
        <w:t xml:space="preserve">elinexor with dexamethasone increases how long people live compared with </w:t>
      </w:r>
      <w:r w:rsidR="00DF306A">
        <w:t>best supportive care</w:t>
      </w:r>
      <w:r w:rsidR="00DF306A" w:rsidRPr="00DF306A">
        <w:t>.</w:t>
      </w:r>
    </w:p>
    <w:p w14:paraId="283352A1" w14:textId="77777777" w:rsidR="00CE0C87" w:rsidRDefault="00CE0C87" w:rsidP="00CE0C87">
      <w:pPr>
        <w:pStyle w:val="Numberedheading1"/>
      </w:pPr>
      <w:r>
        <w:t>Resource impact of the guidance</w:t>
      </w:r>
    </w:p>
    <w:p w14:paraId="716C70FC" w14:textId="4C8D265C" w:rsidR="00B3024A" w:rsidRDefault="00B3024A" w:rsidP="00432620">
      <w:pPr>
        <w:pStyle w:val="Numberedlevel2text"/>
      </w:pPr>
      <w:r>
        <w:t>The</w:t>
      </w:r>
      <w:r w:rsidRPr="00B3024A">
        <w:t xml:space="preserve"> </w:t>
      </w:r>
      <w:r w:rsidRPr="00C951CC">
        <w:t>current treatment</w:t>
      </w:r>
      <w:r w:rsidR="00F230EB">
        <w:t xml:space="preserve"> </w:t>
      </w:r>
      <w:r w:rsidR="00630973">
        <w:t>and</w:t>
      </w:r>
      <w:r w:rsidR="00FC752A">
        <w:t xml:space="preserve"> </w:t>
      </w:r>
      <w:r w:rsidR="00630973">
        <w:t>f</w:t>
      </w:r>
      <w:r w:rsidRPr="00C951CC">
        <w:t xml:space="preserve">uture uptake figure assumptions are based on </w:t>
      </w:r>
      <w:r>
        <w:t xml:space="preserve">estimates </w:t>
      </w:r>
      <w:r w:rsidR="002B42B1">
        <w:t>by</w:t>
      </w:r>
      <w:r w:rsidRPr="00C951CC">
        <w:t xml:space="preserve"> </w:t>
      </w:r>
      <w:r w:rsidR="00F16F65">
        <w:t xml:space="preserve">consultant </w:t>
      </w:r>
      <w:r w:rsidR="00630973">
        <w:t>haematologists</w:t>
      </w:r>
      <w:r w:rsidRPr="00C951CC">
        <w:t xml:space="preserve"> </w:t>
      </w:r>
      <w:r w:rsidR="00630973">
        <w:t xml:space="preserve">and </w:t>
      </w:r>
      <w:r w:rsidRPr="00C951CC">
        <w:t xml:space="preserve">are shown in the resource impact template. </w:t>
      </w:r>
    </w:p>
    <w:p w14:paraId="3B914C96" w14:textId="0574CABB" w:rsidR="00B3024A" w:rsidRDefault="00B3024A" w:rsidP="00432620">
      <w:pPr>
        <w:pStyle w:val="Numberedlevel2text"/>
      </w:pPr>
      <w:r>
        <w:t xml:space="preserve">This </w:t>
      </w:r>
      <w:r w:rsidRPr="00B3024A">
        <w:t xml:space="preserve">report is supported by a local resource impact template. This is because the company has a commercial arrangement </w:t>
      </w:r>
      <w:r w:rsidR="001354A9">
        <w:t>that</w:t>
      </w:r>
      <w:r w:rsidRPr="00B3024A">
        <w:t xml:space="preserve"> makes </w:t>
      </w:r>
      <w:r w:rsidR="00D6692E">
        <w:t>selinexor</w:t>
      </w:r>
      <w:r w:rsidRPr="00B3024A">
        <w:t xml:space="preserve"> available to the NHS with a discount. The size of the discount is commercial in confidence. It is the company’s responsibility to let relevant NHS organisations know details of the discount.</w:t>
      </w:r>
    </w:p>
    <w:p w14:paraId="4AFEA057" w14:textId="424DC1D4" w:rsidR="00C60ABC" w:rsidRDefault="00C60ABC" w:rsidP="00C60ABC">
      <w:pPr>
        <w:pStyle w:val="Heading2"/>
      </w:pPr>
      <w:bookmarkStart w:id="3" w:name="_Toc286916851"/>
      <w:r>
        <w:t xml:space="preserve">Savings and </w:t>
      </w:r>
      <w:r w:rsidRPr="00FA450C">
        <w:t>benefits</w:t>
      </w:r>
    </w:p>
    <w:p w14:paraId="70CD5189" w14:textId="4E737637" w:rsidR="00202B25" w:rsidRPr="00202B25" w:rsidRDefault="001354A9" w:rsidP="00202B25">
      <w:pPr>
        <w:pStyle w:val="Numberedlevel2text"/>
      </w:pPr>
      <w:r>
        <w:t>The c</w:t>
      </w:r>
      <w:r w:rsidR="00432620" w:rsidRPr="00432620">
        <w:t>linical</w:t>
      </w:r>
      <w:r w:rsidR="00202B25">
        <w:t xml:space="preserve"> experts highlighted</w:t>
      </w:r>
      <w:r w:rsidR="00432620" w:rsidRPr="00432620">
        <w:t xml:space="preserve"> </w:t>
      </w:r>
      <w:r w:rsidR="00202B25" w:rsidRPr="00202B25">
        <w:t>that</w:t>
      </w:r>
      <w:r w:rsidR="00957EB9">
        <w:t>,</w:t>
      </w:r>
      <w:r w:rsidR="00202B25" w:rsidRPr="00202B25">
        <w:t xml:space="preserve"> </w:t>
      </w:r>
      <w:r w:rsidR="00796D0E">
        <w:t>within the</w:t>
      </w:r>
      <w:r w:rsidR="00202B25" w:rsidRPr="00202B25">
        <w:t xml:space="preserve"> </w:t>
      </w:r>
      <w:r w:rsidR="00796D0E" w:rsidRPr="00796D0E">
        <w:t xml:space="preserve">penta-refractory </w:t>
      </w:r>
      <w:r w:rsidR="00796D0E">
        <w:t>population</w:t>
      </w:r>
      <w:r w:rsidR="00957EB9">
        <w:t>,</w:t>
      </w:r>
      <w:r w:rsidR="00796D0E">
        <w:t xml:space="preserve"> there is an unmet need</w:t>
      </w:r>
      <w:r w:rsidR="0040662E">
        <w:t xml:space="preserve"> that could be met by s</w:t>
      </w:r>
      <w:r w:rsidR="0040662E" w:rsidRPr="0040662E">
        <w:t>elinexor with dexamethasone</w:t>
      </w:r>
      <w:r w:rsidR="0040662E">
        <w:t>.</w:t>
      </w:r>
    </w:p>
    <w:p w14:paraId="24086911" w14:textId="577D2E5A" w:rsidR="00F16F65" w:rsidRDefault="00630973" w:rsidP="00F16F65">
      <w:pPr>
        <w:pStyle w:val="Numberedlevel2text"/>
      </w:pPr>
      <w:r>
        <w:t>Evidence</w:t>
      </w:r>
      <w:r w:rsidR="00CD51EC">
        <w:t xml:space="preserve"> suggests</w:t>
      </w:r>
      <w:r w:rsidR="00202B25" w:rsidRPr="00202B25">
        <w:t xml:space="preserve"> </w:t>
      </w:r>
      <w:r w:rsidR="00CD51EC" w:rsidRPr="00CD51EC">
        <w:t>that selinexor with dexamethasone increases how long people live compared with best supportive care.</w:t>
      </w:r>
    </w:p>
    <w:p w14:paraId="5511565D" w14:textId="3CD19E18" w:rsidR="000250E2" w:rsidRPr="000250E2" w:rsidRDefault="000250E2" w:rsidP="000250E2">
      <w:pPr>
        <w:pStyle w:val="Numberedheading1"/>
      </w:pPr>
      <w:r w:rsidRPr="000250E2">
        <w:t>Implications for commissioners and providers</w:t>
      </w:r>
    </w:p>
    <w:p w14:paraId="2242FC7B" w14:textId="7261E624" w:rsidR="00491D53" w:rsidRDefault="00202B25" w:rsidP="00AD4C99">
      <w:pPr>
        <w:pStyle w:val="Numberedlevel2text"/>
      </w:pPr>
      <w:r>
        <w:t>S</w:t>
      </w:r>
      <w:r w:rsidRPr="00202B25">
        <w:t xml:space="preserve">elinexor with dexamethasone </w:t>
      </w:r>
      <w:r w:rsidR="00491D53" w:rsidRPr="00491D53">
        <w:t>is commissioned by NHS England. Providers are NHS hospital trusts</w:t>
      </w:r>
      <w:r w:rsidR="00760B3E">
        <w:t>.</w:t>
      </w:r>
    </w:p>
    <w:p w14:paraId="0BBE4604" w14:textId="432D76DF" w:rsidR="00AD4C99" w:rsidRDefault="00202B25">
      <w:pPr>
        <w:pStyle w:val="Numberedlevel2text"/>
      </w:pPr>
      <w:r>
        <w:t>S</w:t>
      </w:r>
      <w:r w:rsidRPr="00202B25">
        <w:t xml:space="preserve">elinexor with dexamethasone </w:t>
      </w:r>
      <w:r w:rsidR="00D43384" w:rsidRPr="00262377">
        <w:t>falls</w:t>
      </w:r>
      <w:r w:rsidR="00262377" w:rsidRPr="00262377">
        <w:t xml:space="preserve"> within th</w:t>
      </w:r>
      <w:r w:rsidR="00262377">
        <w:t xml:space="preserve">e </w:t>
      </w:r>
      <w:r w:rsidR="00533AEE" w:rsidRPr="00533AEE">
        <w:t xml:space="preserve">programme </w:t>
      </w:r>
      <w:r w:rsidR="00FB592F">
        <w:t xml:space="preserve">budgeting category </w:t>
      </w:r>
      <w:r w:rsidR="00F16F65" w:rsidRPr="00F16F65">
        <w:t>02</w:t>
      </w:r>
      <w:r>
        <w:t>I</w:t>
      </w:r>
      <w:r w:rsidR="00F16F65" w:rsidRPr="00F16F65">
        <w:t xml:space="preserve"> cancer, </w:t>
      </w:r>
      <w:r w:rsidRPr="00202B25">
        <w:t>Haematological</w:t>
      </w:r>
      <w:r w:rsidR="00FB592F">
        <w:t>.</w:t>
      </w:r>
    </w:p>
    <w:p w14:paraId="70D539E0" w14:textId="5B3385B1" w:rsidR="00E463DA" w:rsidRDefault="00E463DA">
      <w:pPr>
        <w:pStyle w:val="Numberedlevel2text"/>
      </w:pPr>
      <w:r>
        <w:t>The resource impact template allows commissioners to assess the resource impact of any additional attendances required at provider services.</w:t>
      </w:r>
    </w:p>
    <w:p w14:paraId="3304E268" w14:textId="645112D8" w:rsidR="000250E2" w:rsidRPr="000250E2" w:rsidRDefault="001D02D8">
      <w:pPr>
        <w:pStyle w:val="Numberedheading1"/>
      </w:pPr>
      <w:r>
        <w:t xml:space="preserve">How we estimated the </w:t>
      </w:r>
      <w:r w:rsidR="00356827">
        <w:t xml:space="preserve">resource </w:t>
      </w:r>
      <w:r>
        <w:t>impact</w:t>
      </w:r>
    </w:p>
    <w:p w14:paraId="573FED06" w14:textId="77777777" w:rsidR="008048F9" w:rsidRPr="00ED7225" w:rsidRDefault="00526504" w:rsidP="00412BA6">
      <w:pPr>
        <w:pStyle w:val="Heading2"/>
        <w:rPr>
          <w:lang w:val="en"/>
        </w:rPr>
      </w:pPr>
      <w:r>
        <w:t>The population</w:t>
      </w:r>
      <w:bookmarkEnd w:id="3"/>
    </w:p>
    <w:p w14:paraId="1C198908" w14:textId="380C38BC" w:rsidR="0051176C" w:rsidRDefault="006D0F06" w:rsidP="00084B70">
      <w:pPr>
        <w:pStyle w:val="Numberedlevel2text"/>
      </w:pPr>
      <w:r>
        <w:t xml:space="preserve">In 2019, around </w:t>
      </w:r>
      <w:r w:rsidR="00630973">
        <w:t>5,5</w:t>
      </w:r>
      <w:r w:rsidR="00404D0E">
        <w:t>21</w:t>
      </w:r>
      <w:r w:rsidR="00F16F65" w:rsidRPr="00F16F65">
        <w:t xml:space="preserve"> </w:t>
      </w:r>
      <w:r>
        <w:t xml:space="preserve">adults were diagnosed with </w:t>
      </w:r>
      <w:r w:rsidR="00630973">
        <w:t>multiple myeloma</w:t>
      </w:r>
      <w:r>
        <w:t xml:space="preserve"> in England </w:t>
      </w:r>
      <w:r w:rsidR="0051176C" w:rsidRPr="00947482">
        <w:t>(</w:t>
      </w:r>
      <w:hyperlink r:id="rId9" w:history="1">
        <w:r w:rsidR="0051176C" w:rsidRPr="00275EFC">
          <w:rPr>
            <w:rStyle w:val="Hyperlink"/>
          </w:rPr>
          <w:t>Cancer Registration Statistics, England 2019</w:t>
        </w:r>
      </w:hyperlink>
      <w:r w:rsidR="0051176C">
        <w:t xml:space="preserve">). </w:t>
      </w:r>
      <w:r w:rsidR="00233D60">
        <w:t xml:space="preserve">Applying population growth, around </w:t>
      </w:r>
      <w:r w:rsidR="00630973">
        <w:t>5,</w:t>
      </w:r>
      <w:r w:rsidR="00DD161D">
        <w:t>7</w:t>
      </w:r>
      <w:r w:rsidR="002B4BD4">
        <w:t>92</w:t>
      </w:r>
      <w:r w:rsidR="00F16F65" w:rsidRPr="00F16F65">
        <w:t xml:space="preserve"> </w:t>
      </w:r>
      <w:r w:rsidR="00233D60">
        <w:t xml:space="preserve">adults in England </w:t>
      </w:r>
      <w:r w:rsidR="00FC752A">
        <w:t>are</w:t>
      </w:r>
      <w:r w:rsidR="00233D60">
        <w:t xml:space="preserve"> expected to be diagnosed with </w:t>
      </w:r>
      <w:r w:rsidR="00F16F65">
        <w:t>prostate cancer</w:t>
      </w:r>
      <w:r w:rsidR="00233D60">
        <w:t xml:space="preserve"> in 202</w:t>
      </w:r>
      <w:r w:rsidR="002B1665">
        <w:t>8</w:t>
      </w:r>
      <w:r w:rsidR="00233D60">
        <w:t>/2</w:t>
      </w:r>
      <w:r w:rsidR="002B1665">
        <w:t>9</w:t>
      </w:r>
      <w:r w:rsidR="00233D60">
        <w:t>.</w:t>
      </w:r>
    </w:p>
    <w:p w14:paraId="20808025" w14:textId="602E0A6B" w:rsidR="0051176C" w:rsidRDefault="00F16F65" w:rsidP="00084B70">
      <w:pPr>
        <w:pStyle w:val="Numberedlevel2text"/>
      </w:pPr>
      <w:r>
        <w:t>A</w:t>
      </w:r>
      <w:r w:rsidRPr="00F16F65">
        <w:t xml:space="preserve">pproximations </w:t>
      </w:r>
      <w:r w:rsidR="00AE352F">
        <w:t xml:space="preserve">based on attrition rates from </w:t>
      </w:r>
      <w:r w:rsidR="00A47328">
        <w:t>consultant haematologists</w:t>
      </w:r>
      <w:r w:rsidR="00EA4786">
        <w:t xml:space="preserve"> estimated that there are around </w:t>
      </w:r>
      <w:r w:rsidR="003B4DDC">
        <w:t>46</w:t>
      </w:r>
      <w:r w:rsidR="00D605EB">
        <w:t>3</w:t>
      </w:r>
      <w:r w:rsidR="00957EB9">
        <w:t> </w:t>
      </w:r>
      <w:r w:rsidR="00A82D55">
        <w:t xml:space="preserve">adults eligible for treatment at </w:t>
      </w:r>
      <w:r w:rsidR="00957EB9">
        <w:t>fifth</w:t>
      </w:r>
      <w:r w:rsidR="00A82D55">
        <w:t xml:space="preserve"> line</w:t>
      </w:r>
      <w:r w:rsidR="000D79AB">
        <w:t xml:space="preserve"> which is used as a proxy for </w:t>
      </w:r>
      <w:r w:rsidR="000D79AB" w:rsidRPr="000D79AB">
        <w:t>people that have received 4</w:t>
      </w:r>
      <w:r w:rsidR="00957EB9">
        <w:t> </w:t>
      </w:r>
      <w:r w:rsidR="000D79AB" w:rsidRPr="000D79AB">
        <w:t>or more treatments, and the condition is refractory to at least 2</w:t>
      </w:r>
      <w:r w:rsidR="00957EB9">
        <w:t> </w:t>
      </w:r>
      <w:r w:rsidR="000D79AB" w:rsidRPr="000D79AB">
        <w:t>proteasome inhibitors, 2</w:t>
      </w:r>
      <w:r w:rsidR="00957EB9">
        <w:t> </w:t>
      </w:r>
      <w:r w:rsidR="000D79AB" w:rsidRPr="000D79AB">
        <w:t>immunomodulatory agents and an anti</w:t>
      </w:r>
      <w:r w:rsidR="00957EB9">
        <w:noBreakHyphen/>
      </w:r>
      <w:r w:rsidR="000D79AB" w:rsidRPr="000D79AB">
        <w:t>CD38 monoclonal antibody (penta-refractory</w:t>
      </w:r>
      <w:r w:rsidR="0094411A">
        <w:t>).</w:t>
      </w:r>
    </w:p>
    <w:p w14:paraId="4A74EBC0" w14:textId="364F8511" w:rsidR="0045017F" w:rsidRDefault="00947482" w:rsidP="00947482">
      <w:pPr>
        <w:pStyle w:val="Numberedlevel2text"/>
      </w:pPr>
      <w:r w:rsidRPr="00947482">
        <w:t>Table</w:t>
      </w:r>
      <w:r w:rsidR="00957EB9">
        <w:t> </w:t>
      </w:r>
      <w:r w:rsidR="00CB3D72">
        <w:t>2</w:t>
      </w:r>
      <w:r w:rsidRPr="00947482">
        <w:t xml:space="preserve"> shows the number of people eligible for treatment with</w:t>
      </w:r>
      <w:r w:rsidR="00B3024A">
        <w:t xml:space="preserve"> </w:t>
      </w:r>
      <w:r w:rsidR="00D6692E" w:rsidRPr="00D6692E">
        <w:t>selinexor with dexamethasone</w:t>
      </w:r>
      <w:r w:rsidRPr="00947482">
        <w:t>.</w:t>
      </w:r>
    </w:p>
    <w:p w14:paraId="444A0B77" w14:textId="10880EB3" w:rsidR="00155DBF" w:rsidRDefault="00155DBF" w:rsidP="00957EB9">
      <w:pPr>
        <w:pStyle w:val="Caption"/>
        <w:rPr>
          <w:rFonts w:eastAsia="SimSun"/>
        </w:rPr>
      </w:pPr>
      <w:r w:rsidRPr="00155DBF">
        <w:rPr>
          <w:rFonts w:eastAsia="SimSun"/>
        </w:rPr>
        <w:t>Table </w:t>
      </w:r>
      <w:r w:rsidR="00CB3D72">
        <w:rPr>
          <w:rFonts w:eastAsia="SimSun"/>
        </w:rPr>
        <w:t>2</w:t>
      </w:r>
      <w:r w:rsidRPr="00155DBF">
        <w:rPr>
          <w:rFonts w:eastAsia="SimSun"/>
        </w:rPr>
        <w:t xml:space="preserve"> Number of people eligible for treatment </w:t>
      </w:r>
      <w:r>
        <w:rPr>
          <w:rFonts w:eastAsia="SimSun"/>
        </w:rPr>
        <w:t>in England</w:t>
      </w:r>
    </w:p>
    <w:tbl>
      <w:tblPr>
        <w:tblW w:w="7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ber of people eligible for treatment in England"/>
        <w:tblDescription w:val="Adult population foreacst at 2028/29, incidence of multiple myeloma and proportion of people who have had 4 or more treatments and are penta-refractory."/>
      </w:tblPr>
      <w:tblGrid>
        <w:gridCol w:w="4199"/>
        <w:gridCol w:w="2038"/>
        <w:gridCol w:w="1758"/>
      </w:tblGrid>
      <w:tr w:rsidR="00947482" w:rsidRPr="00957EB9" w14:paraId="244FC3FE" w14:textId="77777777" w:rsidTr="00957EB9">
        <w:tc>
          <w:tcPr>
            <w:tcW w:w="4199" w:type="dxa"/>
            <w:shd w:val="clear" w:color="auto" w:fill="auto"/>
            <w:noWrap/>
            <w:vAlign w:val="center"/>
            <w:hideMark/>
          </w:tcPr>
          <w:p w14:paraId="3E81643C" w14:textId="77777777" w:rsidR="00947482" w:rsidRPr="00957EB9" w:rsidRDefault="00947482" w:rsidP="00957EB9">
            <w:pPr>
              <w:pStyle w:val="Tableheading"/>
              <w:rPr>
                <w:rFonts w:eastAsia="SimSun"/>
              </w:rPr>
            </w:pPr>
            <w:r w:rsidRPr="00957EB9">
              <w:rPr>
                <w:rFonts w:eastAsia="SimSun"/>
              </w:rPr>
              <w:t>Population</w:t>
            </w:r>
          </w:p>
        </w:tc>
        <w:tc>
          <w:tcPr>
            <w:tcW w:w="2038" w:type="dxa"/>
            <w:shd w:val="clear" w:color="auto" w:fill="auto"/>
            <w:noWrap/>
            <w:vAlign w:val="center"/>
            <w:hideMark/>
          </w:tcPr>
          <w:p w14:paraId="04EF1E87" w14:textId="77777777" w:rsidR="00947482" w:rsidRPr="00957EB9" w:rsidRDefault="00947482" w:rsidP="00957EB9">
            <w:pPr>
              <w:pStyle w:val="Tableheading"/>
              <w:rPr>
                <w:rFonts w:eastAsia="SimSun"/>
              </w:rPr>
            </w:pPr>
            <w:r w:rsidRPr="00957EB9">
              <w:rPr>
                <w:rFonts w:eastAsia="SimSun"/>
              </w:rPr>
              <w:t>Proportion of previous row (%)</w:t>
            </w:r>
          </w:p>
        </w:tc>
        <w:tc>
          <w:tcPr>
            <w:tcW w:w="1758" w:type="dxa"/>
            <w:shd w:val="clear" w:color="auto" w:fill="auto"/>
            <w:vAlign w:val="center"/>
            <w:hideMark/>
          </w:tcPr>
          <w:p w14:paraId="6472D484" w14:textId="77777777" w:rsidR="00947482" w:rsidRPr="00957EB9" w:rsidRDefault="00947482" w:rsidP="00957EB9">
            <w:pPr>
              <w:pStyle w:val="Tableheading"/>
              <w:rPr>
                <w:rFonts w:eastAsia="SimSun"/>
              </w:rPr>
            </w:pPr>
            <w:r w:rsidRPr="00957EB9">
              <w:rPr>
                <w:rFonts w:eastAsia="SimSun"/>
              </w:rPr>
              <w:t>Number of people</w:t>
            </w:r>
          </w:p>
        </w:tc>
      </w:tr>
      <w:tr w:rsidR="003C1A64" w:rsidRPr="00A11248" w14:paraId="67226022" w14:textId="77777777" w:rsidTr="00957EB9">
        <w:tc>
          <w:tcPr>
            <w:tcW w:w="4199" w:type="dxa"/>
            <w:tcBorders>
              <w:bottom w:val="single" w:sz="4" w:space="0" w:color="auto"/>
            </w:tcBorders>
            <w:shd w:val="clear" w:color="auto" w:fill="auto"/>
          </w:tcPr>
          <w:p w14:paraId="231E9A4D" w14:textId="22CB1EFB" w:rsidR="003C1A64" w:rsidRPr="00356827" w:rsidRDefault="003C1A64" w:rsidP="003C1A64">
            <w:pPr>
              <w:pStyle w:val="Tabletext"/>
              <w:rPr>
                <w:rFonts w:eastAsia="SimSun"/>
              </w:rPr>
            </w:pPr>
            <w:r w:rsidRPr="002F3D95">
              <w:t xml:space="preserve">Adult population forecast </w:t>
            </w:r>
            <w:proofErr w:type="gramStart"/>
            <w:r w:rsidRPr="002F3D95">
              <w:t>at</w:t>
            </w:r>
            <w:proofErr w:type="gramEnd"/>
            <w:r w:rsidRPr="002F3D95">
              <w:t xml:space="preserve"> 202</w:t>
            </w:r>
            <w:r w:rsidR="00D605EB">
              <w:t>8</w:t>
            </w:r>
            <w:r w:rsidRPr="002F3D95">
              <w:t>/2</w:t>
            </w:r>
            <w:r w:rsidR="00D605EB">
              <w:t>9</w:t>
            </w:r>
          </w:p>
        </w:tc>
        <w:tc>
          <w:tcPr>
            <w:tcW w:w="2038" w:type="dxa"/>
            <w:shd w:val="clear" w:color="auto" w:fill="auto"/>
            <w:noWrap/>
          </w:tcPr>
          <w:p w14:paraId="68124A32" w14:textId="106CB68E" w:rsidR="003C1A64" w:rsidRPr="00DB65B0" w:rsidRDefault="00957EB9" w:rsidP="00CB3D72">
            <w:pPr>
              <w:pStyle w:val="Tabletext"/>
              <w:jc w:val="right"/>
              <w:rPr>
                <w:rFonts w:eastAsia="SimSun"/>
                <w:highlight w:val="darkGray"/>
              </w:rPr>
            </w:pPr>
            <w:r>
              <w:rPr>
                <w:rFonts w:eastAsia="SimSun"/>
                <w:highlight w:val="darkGray"/>
              </w:rPr>
              <w:t>-</w:t>
            </w:r>
          </w:p>
        </w:tc>
        <w:tc>
          <w:tcPr>
            <w:tcW w:w="1758" w:type="dxa"/>
            <w:tcBorders>
              <w:bottom w:val="single" w:sz="4" w:space="0" w:color="auto"/>
            </w:tcBorders>
            <w:shd w:val="clear" w:color="auto" w:fill="auto"/>
            <w:noWrap/>
            <w:vAlign w:val="center"/>
          </w:tcPr>
          <w:p w14:paraId="20B55248" w14:textId="4ACE8A65" w:rsidR="003C1A64" w:rsidRPr="00155DBF" w:rsidRDefault="00F84571" w:rsidP="00CB3D72">
            <w:pPr>
              <w:pStyle w:val="Tabletext"/>
              <w:jc w:val="right"/>
              <w:rPr>
                <w:rFonts w:eastAsia="SimSun"/>
              </w:rPr>
            </w:pPr>
            <w:r w:rsidRPr="00F84571">
              <w:rPr>
                <w:rFonts w:eastAsia="SimSun"/>
              </w:rPr>
              <w:t>48,417,016</w:t>
            </w:r>
          </w:p>
        </w:tc>
      </w:tr>
      <w:tr w:rsidR="00D6692E" w:rsidRPr="00A11248" w14:paraId="0AD6119F" w14:textId="77777777" w:rsidTr="00957EB9">
        <w:tc>
          <w:tcPr>
            <w:tcW w:w="41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ED93C" w14:textId="4647A96B" w:rsidR="00D6692E" w:rsidRPr="00CB3D72" w:rsidRDefault="00D6692E" w:rsidP="00D6692E">
            <w:pPr>
              <w:pStyle w:val="Tabletext"/>
              <w:rPr>
                <w:vertAlign w:val="superscript"/>
              </w:rPr>
            </w:pPr>
            <w:r w:rsidRPr="00CB3D72">
              <w:t xml:space="preserve">Incidence of </w:t>
            </w:r>
            <w:r>
              <w:t>multiple myeloma</w:t>
            </w:r>
            <w:r w:rsidR="00957EB9">
              <w:t xml:space="preserve"> (</w:t>
            </w:r>
            <w:hyperlink r:id="rId10" w:history="1">
              <w:r w:rsidR="00957EB9" w:rsidRPr="00275EFC">
                <w:rPr>
                  <w:rStyle w:val="Hyperlink"/>
                </w:rPr>
                <w:t>Cancer Registration Statistics, England 2019</w:t>
              </w:r>
            </w:hyperlink>
            <w:r w:rsidR="00957EB9">
              <w:t>)</w:t>
            </w:r>
          </w:p>
        </w:tc>
        <w:tc>
          <w:tcPr>
            <w:tcW w:w="2038" w:type="dxa"/>
            <w:tcBorders>
              <w:top w:val="nil"/>
              <w:left w:val="single" w:sz="4" w:space="0" w:color="auto"/>
              <w:bottom w:val="single" w:sz="4" w:space="0" w:color="auto"/>
              <w:right w:val="single" w:sz="4" w:space="0" w:color="auto"/>
            </w:tcBorders>
            <w:shd w:val="clear" w:color="auto" w:fill="auto"/>
            <w:noWrap/>
            <w:hideMark/>
          </w:tcPr>
          <w:p w14:paraId="1670A752" w14:textId="29BBC4F7" w:rsidR="00D6692E" w:rsidRPr="004627C5" w:rsidRDefault="00D6692E" w:rsidP="00957EB9">
            <w:pPr>
              <w:pStyle w:val="Tabletext"/>
              <w:jc w:val="right"/>
              <w:rPr>
                <w:rFonts w:eastAsia="SimSun"/>
              </w:rPr>
            </w:pPr>
            <w:r w:rsidRPr="00532E85">
              <w:t>0.01%</w:t>
            </w:r>
          </w:p>
        </w:tc>
        <w:tc>
          <w:tcPr>
            <w:tcW w:w="1758" w:type="dxa"/>
            <w:tcBorders>
              <w:top w:val="single" w:sz="4" w:space="0" w:color="auto"/>
              <w:left w:val="single" w:sz="4" w:space="0" w:color="auto"/>
              <w:bottom w:val="single" w:sz="4" w:space="0" w:color="auto"/>
              <w:right w:val="single" w:sz="4" w:space="0" w:color="auto"/>
            </w:tcBorders>
            <w:shd w:val="clear" w:color="auto" w:fill="auto"/>
            <w:noWrap/>
            <w:hideMark/>
          </w:tcPr>
          <w:p w14:paraId="7ACFA411" w14:textId="1BDA9A45" w:rsidR="00D6692E" w:rsidRPr="00CB3D72" w:rsidRDefault="00D6692E" w:rsidP="00D6692E">
            <w:pPr>
              <w:pStyle w:val="Tabletext"/>
              <w:jc w:val="right"/>
            </w:pPr>
            <w:r w:rsidRPr="00AC5556">
              <w:t>5,</w:t>
            </w:r>
            <w:r w:rsidR="00DD161D">
              <w:t>7</w:t>
            </w:r>
            <w:r w:rsidR="00F84571">
              <w:t>92</w:t>
            </w:r>
          </w:p>
        </w:tc>
      </w:tr>
      <w:tr w:rsidR="00E8073D" w:rsidRPr="00A11248" w14:paraId="619EA99A" w14:textId="77777777" w:rsidTr="00957EB9">
        <w:trPr>
          <w:trHeight w:val="561"/>
        </w:trPr>
        <w:tc>
          <w:tcPr>
            <w:tcW w:w="4199" w:type="dxa"/>
            <w:tcBorders>
              <w:top w:val="single" w:sz="4" w:space="0" w:color="auto"/>
              <w:left w:val="single" w:sz="4" w:space="0" w:color="auto"/>
              <w:bottom w:val="single" w:sz="4" w:space="0" w:color="auto"/>
              <w:right w:val="nil"/>
            </w:tcBorders>
            <w:shd w:val="clear" w:color="auto" w:fill="auto"/>
            <w:hideMark/>
          </w:tcPr>
          <w:p w14:paraId="516EB489" w14:textId="2C9CF230" w:rsidR="00E8073D" w:rsidRPr="00AE098F" w:rsidRDefault="00443036" w:rsidP="007A676E">
            <w:pPr>
              <w:pStyle w:val="Tabletext"/>
              <w:rPr>
                <w:vertAlign w:val="superscript"/>
              </w:rPr>
            </w:pPr>
            <w:r w:rsidRPr="00443036">
              <w:t xml:space="preserve">Proportion of people </w:t>
            </w:r>
            <w:r w:rsidR="00957EB9">
              <w:t>who</w:t>
            </w:r>
            <w:r w:rsidRPr="00443036">
              <w:t xml:space="preserve"> have </w:t>
            </w:r>
            <w:r w:rsidR="00957EB9">
              <w:t>had</w:t>
            </w:r>
            <w:r w:rsidRPr="00443036">
              <w:t xml:space="preserve"> 4 or more treatments and </w:t>
            </w:r>
            <w:r w:rsidR="00957EB9">
              <w:t xml:space="preserve">are </w:t>
            </w:r>
            <w:r w:rsidRPr="00443036">
              <w:t>penta-refractory</w:t>
            </w:r>
            <w:r w:rsidR="00957EB9">
              <w:t xml:space="preserve"> (based on consultant haematologist opinion)</w:t>
            </w:r>
          </w:p>
        </w:tc>
        <w:tc>
          <w:tcPr>
            <w:tcW w:w="2038" w:type="dxa"/>
            <w:tcBorders>
              <w:top w:val="single" w:sz="4" w:space="0" w:color="auto"/>
              <w:left w:val="single" w:sz="4" w:space="0" w:color="auto"/>
              <w:bottom w:val="single" w:sz="4" w:space="0" w:color="auto"/>
              <w:right w:val="single" w:sz="4" w:space="0" w:color="auto"/>
            </w:tcBorders>
            <w:shd w:val="clear" w:color="auto" w:fill="auto"/>
            <w:noWrap/>
            <w:hideMark/>
          </w:tcPr>
          <w:p w14:paraId="1F10D951" w14:textId="60980B66" w:rsidR="00E8073D" w:rsidRPr="00B3024A" w:rsidRDefault="00141E7E" w:rsidP="00E8073D">
            <w:pPr>
              <w:pStyle w:val="Tabletext"/>
              <w:jc w:val="right"/>
              <w:rPr>
                <w:rFonts w:eastAsia="SimSun"/>
              </w:rPr>
            </w:pPr>
            <w:r>
              <w:t>8</w:t>
            </w:r>
            <w:r w:rsidR="00E8073D" w:rsidRPr="00532E85">
              <w:t>%</w:t>
            </w:r>
          </w:p>
        </w:tc>
        <w:tc>
          <w:tcPr>
            <w:tcW w:w="1758" w:type="dxa"/>
            <w:tcBorders>
              <w:top w:val="single" w:sz="4" w:space="0" w:color="auto"/>
              <w:left w:val="single" w:sz="4" w:space="0" w:color="auto"/>
              <w:bottom w:val="single" w:sz="4" w:space="0" w:color="auto"/>
              <w:right w:val="single" w:sz="4" w:space="0" w:color="auto"/>
            </w:tcBorders>
            <w:shd w:val="clear" w:color="auto" w:fill="auto"/>
            <w:noWrap/>
            <w:hideMark/>
          </w:tcPr>
          <w:p w14:paraId="646DC154" w14:textId="06683123" w:rsidR="00E8073D" w:rsidRPr="00CB3D72" w:rsidRDefault="00141E7E" w:rsidP="00E8073D">
            <w:pPr>
              <w:pStyle w:val="Tabletext"/>
              <w:jc w:val="right"/>
            </w:pPr>
            <w:r>
              <w:t>46</w:t>
            </w:r>
            <w:r w:rsidR="00F84571">
              <w:t>3</w:t>
            </w:r>
          </w:p>
        </w:tc>
      </w:tr>
    </w:tbl>
    <w:p w14:paraId="7DC1B5B9" w14:textId="4E6C4772" w:rsidR="00C00F82" w:rsidRDefault="001C48FA" w:rsidP="00C00F82">
      <w:pPr>
        <w:pStyle w:val="Heading2"/>
      </w:pPr>
      <w:r>
        <w:t xml:space="preserve">Assumptions </w:t>
      </w:r>
    </w:p>
    <w:p w14:paraId="7CB07997" w14:textId="0FFED2DC" w:rsidR="00965418" w:rsidRDefault="00965418" w:rsidP="00965418">
      <w:pPr>
        <w:pStyle w:val="Numberedlevel2text"/>
      </w:pPr>
      <w:r w:rsidRPr="00C070D9">
        <w:t xml:space="preserve">The </w:t>
      </w:r>
      <w:r>
        <w:t>resource impact template</w:t>
      </w:r>
      <w:r w:rsidRPr="00C070D9">
        <w:t xml:space="preserve"> </w:t>
      </w:r>
      <w:r>
        <w:t>assumes that</w:t>
      </w:r>
      <w:r w:rsidRPr="00F70CCE">
        <w:t>:</w:t>
      </w:r>
    </w:p>
    <w:p w14:paraId="18AD75AA" w14:textId="605B0E9A" w:rsidR="009314D9" w:rsidRDefault="00141E7E" w:rsidP="000D2EDC">
      <w:pPr>
        <w:pStyle w:val="Bulletindent1"/>
      </w:pPr>
      <w:r>
        <w:t>Best supportive care is</w:t>
      </w:r>
      <w:r w:rsidR="009314D9" w:rsidRPr="009314D9">
        <w:t xml:space="preserve"> the relevant comparator for </w:t>
      </w:r>
      <w:r w:rsidR="009314D9">
        <w:t>s</w:t>
      </w:r>
      <w:r w:rsidR="009314D9" w:rsidRPr="009314D9">
        <w:t xml:space="preserve">elinexor with dexamethasone for the treatment of multiple myeloma. </w:t>
      </w:r>
    </w:p>
    <w:p w14:paraId="4EC9E0A6" w14:textId="33ECA61D" w:rsidR="00A63B30" w:rsidRDefault="00A63B30" w:rsidP="000D2EDC">
      <w:pPr>
        <w:pStyle w:val="Bulletindent1"/>
      </w:pPr>
      <w:r w:rsidRPr="00A63B30">
        <w:t>No additional infrastructure is expected to be required to deliver this treatment</w:t>
      </w:r>
      <w:r w:rsidR="00CB3D72">
        <w:t>.</w:t>
      </w:r>
    </w:p>
    <w:p w14:paraId="2F5FB69A" w14:textId="203E5B7E" w:rsidR="00E463DA" w:rsidRDefault="00C052CF" w:rsidP="00C63ECE">
      <w:pPr>
        <w:pStyle w:val="Bulletindent1"/>
      </w:pPr>
      <w:r>
        <w:t>The recommended dose</w:t>
      </w:r>
      <w:r w:rsidR="002F1C9B">
        <w:t xml:space="preserve"> of selinexor</w:t>
      </w:r>
      <w:r>
        <w:t xml:space="preserve"> is </w:t>
      </w:r>
      <w:r w:rsidR="001E3C58" w:rsidRPr="001E3C58">
        <w:t>80</w:t>
      </w:r>
      <w:r w:rsidR="007177A8">
        <w:t> </w:t>
      </w:r>
      <w:r w:rsidR="001E3C58" w:rsidRPr="001E3C58">
        <w:t xml:space="preserve">mg orally on </w:t>
      </w:r>
      <w:r w:rsidR="007177A8">
        <w:t>d</w:t>
      </w:r>
      <w:r w:rsidR="001E3C58" w:rsidRPr="001E3C58">
        <w:t>ays</w:t>
      </w:r>
      <w:r w:rsidR="007177A8">
        <w:t> </w:t>
      </w:r>
      <w:r w:rsidR="001E3C58" w:rsidRPr="001E3C58">
        <w:t xml:space="preserve">1 </w:t>
      </w:r>
      <w:r w:rsidR="007177A8">
        <w:t>and </w:t>
      </w:r>
      <w:r w:rsidR="001E3C58" w:rsidRPr="001E3C58">
        <w:t>3 of each week</w:t>
      </w:r>
      <w:r w:rsidR="002F1C9B">
        <w:t>.</w:t>
      </w:r>
      <w:r w:rsidR="00C3461D" w:rsidRPr="00C3461D">
        <w:t xml:space="preserve"> </w:t>
      </w:r>
      <w:r w:rsidR="00C3461D">
        <w:t xml:space="preserve">This is given </w:t>
      </w:r>
      <w:r w:rsidR="00C3461D" w:rsidRPr="00C3461D">
        <w:t>with dexamethasone 20</w:t>
      </w:r>
      <w:r w:rsidR="007177A8">
        <w:t> </w:t>
      </w:r>
      <w:r w:rsidR="00C3461D" w:rsidRPr="00C3461D">
        <w:t xml:space="preserve">mg orally </w:t>
      </w:r>
      <w:r w:rsidR="00C3461D">
        <w:t>twice weekly</w:t>
      </w:r>
      <w:r w:rsidR="00C3461D" w:rsidRPr="00C3461D">
        <w:t xml:space="preserve"> on </w:t>
      </w:r>
      <w:r w:rsidR="007177A8">
        <w:t>d</w:t>
      </w:r>
      <w:r w:rsidR="00C3461D" w:rsidRPr="00C3461D">
        <w:t>ays</w:t>
      </w:r>
      <w:r w:rsidR="007177A8">
        <w:t> </w:t>
      </w:r>
      <w:r w:rsidR="00C3461D" w:rsidRPr="00C3461D">
        <w:t>1 and</w:t>
      </w:r>
      <w:r w:rsidR="007177A8">
        <w:t> </w:t>
      </w:r>
      <w:r w:rsidR="00C3461D" w:rsidRPr="00C3461D">
        <w:t>3 of each week</w:t>
      </w:r>
      <w:r w:rsidR="008616F8">
        <w:t>.</w:t>
      </w:r>
    </w:p>
    <w:p w14:paraId="50C03B6C" w14:textId="3322F920" w:rsidR="00F76D7D" w:rsidRDefault="002F1C9B">
      <w:pPr>
        <w:pStyle w:val="Bulletindent1"/>
      </w:pPr>
      <w:r w:rsidRPr="002F1C9B">
        <w:t xml:space="preserve">The median progression free survival was </w:t>
      </w:r>
      <w:r w:rsidR="00CB2F79">
        <w:t>2.8</w:t>
      </w:r>
      <w:r w:rsidR="007177A8">
        <w:t> </w:t>
      </w:r>
      <w:r w:rsidRPr="002F1C9B">
        <w:t xml:space="preserve">months, which equates to </w:t>
      </w:r>
      <w:r w:rsidR="00832EAD">
        <w:t>1</w:t>
      </w:r>
      <w:r w:rsidR="00B02E7C">
        <w:t>2</w:t>
      </w:r>
      <w:r w:rsidR="007177A8">
        <w:t> </w:t>
      </w:r>
      <w:r w:rsidR="00832EAD">
        <w:t>weeks of treatment</w:t>
      </w:r>
      <w:r w:rsidRPr="002F1C9B">
        <w:t>.</w:t>
      </w:r>
    </w:p>
    <w:p w14:paraId="18F2DA5B" w14:textId="4CF168AE" w:rsidR="00873852" w:rsidRPr="00441FE2" w:rsidRDefault="0019052F" w:rsidP="00873852">
      <w:pPr>
        <w:pStyle w:val="Bulletindent1"/>
        <w:rPr>
          <w:lang w:val="en-GB"/>
        </w:rPr>
      </w:pPr>
      <w:r>
        <w:t>Administration costs in clinic are based on</w:t>
      </w:r>
      <w:r w:rsidR="00873852">
        <w:t xml:space="preserve"> the</w:t>
      </w:r>
      <w:r>
        <w:t xml:space="preserve"> </w:t>
      </w:r>
      <w:hyperlink r:id="rId11">
        <w:r w:rsidR="00FF6308">
          <w:rPr>
            <w:rStyle w:val="Hyperlink"/>
            <w:lang w:val="en-GB"/>
          </w:rPr>
          <w:t>2023</w:t>
        </w:r>
        <w:r w:rsidR="007177A8">
          <w:rPr>
            <w:rStyle w:val="Hyperlink"/>
            <w:lang w:val="en-GB"/>
          </w:rPr>
          <w:t>/</w:t>
        </w:r>
        <w:r w:rsidR="00FF6308">
          <w:rPr>
            <w:rStyle w:val="Hyperlink"/>
            <w:lang w:val="en-GB"/>
          </w:rPr>
          <w:t>25 NHS Payment Scheme, 2024/25 prices workbook</w:t>
        </w:r>
      </w:hyperlink>
      <w:r w:rsidR="00873852">
        <w:t>.</w:t>
      </w:r>
    </w:p>
    <w:p w14:paraId="289CC632" w14:textId="352B24CF" w:rsidR="004B4440" w:rsidRDefault="004B4440" w:rsidP="004B4440">
      <w:pPr>
        <w:pStyle w:val="Heading1"/>
      </w:pPr>
      <w:r>
        <w:t xml:space="preserve">About this resource impact </w:t>
      </w:r>
      <w:r w:rsidRPr="006C4C02">
        <w:t>report</w:t>
      </w:r>
    </w:p>
    <w:p w14:paraId="2DF52DE1" w14:textId="67EBA798" w:rsidR="00370A18" w:rsidRPr="000122B5" w:rsidRDefault="00370A18" w:rsidP="00370A18">
      <w:pPr>
        <w:pStyle w:val="NICEnormalsinglespacing"/>
      </w:pPr>
      <w:r>
        <w:t>This resource impact</w:t>
      </w:r>
      <w:r w:rsidRPr="000122B5">
        <w:t xml:space="preserve"> </w:t>
      </w:r>
      <w:r>
        <w:t>report accompanies the NICE guidance</w:t>
      </w:r>
      <w:r w:rsidRPr="000122B5">
        <w:t xml:space="preserve"> on </w:t>
      </w:r>
      <w:hyperlink r:id="rId12" w:history="1">
        <w:r w:rsidR="00141E7E">
          <w:rPr>
            <w:rStyle w:val="Hyperlink"/>
          </w:rPr>
          <w:t>Selinexor with dexamethasone for treating relapsed or refractory multiple myeloma after 4 or more treatments</w:t>
        </w:r>
      </w:hyperlink>
      <w:r>
        <w:t xml:space="preserve"> </w:t>
      </w:r>
      <w:r w:rsidRPr="000122B5">
        <w:t xml:space="preserve">and should be read with it. See </w:t>
      </w:r>
      <w:hyperlink r:id="rId13" w:history="1">
        <w:r w:rsidRPr="000122B5">
          <w:rPr>
            <w:rStyle w:val="Hyperlink"/>
          </w:rPr>
          <w:t>terms and conditions</w:t>
        </w:r>
      </w:hyperlink>
      <w:r w:rsidRPr="000122B5">
        <w:t xml:space="preserve"> on the NICE website.</w:t>
      </w:r>
    </w:p>
    <w:p w14:paraId="4E6DD813" w14:textId="6449B8A5" w:rsidR="00B64B0F" w:rsidRPr="00D459D6" w:rsidRDefault="00370A18" w:rsidP="00370A18">
      <w:pPr>
        <w:pStyle w:val="NICEnormalsinglespacing"/>
      </w:pPr>
      <w:r w:rsidRPr="000122B5">
        <w:t xml:space="preserve">© </w:t>
      </w:r>
      <w:r>
        <w:t>NICE 202</w:t>
      </w:r>
      <w:r w:rsidR="00F04496">
        <w:t>4</w:t>
      </w:r>
      <w:r w:rsidRPr="000122B5">
        <w:t xml:space="preserve">. All rights reserved. </w:t>
      </w:r>
      <w:r>
        <w:t xml:space="preserve">See </w:t>
      </w:r>
      <w:hyperlink r:id="rId14" w:history="1">
        <w:r w:rsidRPr="00574D9D">
          <w:rPr>
            <w:rStyle w:val="Hyperlink"/>
          </w:rPr>
          <w:t>Notice of rights</w:t>
        </w:r>
      </w:hyperlink>
      <w:r>
        <w:t>.</w:t>
      </w:r>
    </w:p>
    <w:sectPr w:rsidR="00B64B0F" w:rsidRPr="00D459D6" w:rsidSect="009913FB">
      <w:footerReference w:type="default" r:id="rId1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2F07" w14:textId="77777777" w:rsidR="009913FB" w:rsidRDefault="009913FB">
      <w:r>
        <w:separator/>
      </w:r>
    </w:p>
  </w:endnote>
  <w:endnote w:type="continuationSeparator" w:id="0">
    <w:p w14:paraId="22619738" w14:textId="77777777" w:rsidR="009913FB" w:rsidRDefault="009913FB">
      <w:r>
        <w:continuationSeparator/>
      </w:r>
    </w:p>
  </w:endnote>
  <w:endnote w:type="continuationNotice" w:id="1">
    <w:p w14:paraId="4C3F7B93" w14:textId="77777777" w:rsidR="009913FB" w:rsidRDefault="00991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68A" w14:textId="18DDA208" w:rsidR="00CB4C88" w:rsidRDefault="00CB4C88">
    <w:pPr>
      <w:pStyle w:val="Footer"/>
    </w:pPr>
    <w:r>
      <w:t xml:space="preserve">Resource impact report: </w:t>
    </w:r>
    <w:r w:rsidR="00DF306A" w:rsidRPr="00DF306A">
      <w:t xml:space="preserve">Selinexor with dexamethasone for treating relapsed or refractory multiple myeloma after 4 or more treatments </w:t>
    </w:r>
    <w:r w:rsidR="00DE3051">
      <w:t>(</w:t>
    </w:r>
    <w:r w:rsidR="00FF6308">
      <w:t>May</w:t>
    </w:r>
    <w:r w:rsidR="00630973">
      <w:t xml:space="preserve"> </w:t>
    </w:r>
    <w:r w:rsidR="00DE3051">
      <w:t>20</w:t>
    </w:r>
    <w:r w:rsidR="00370A18">
      <w:t>2</w:t>
    </w:r>
    <w:r w:rsidR="001F2645">
      <w:t>4</w:t>
    </w:r>
    <w:r w:rsidR="00DE3051">
      <w:t>)</w:t>
    </w:r>
    <w:r>
      <w:t xml:space="preserve"> </w:t>
    </w:r>
    <w:r>
      <w:tab/>
    </w:r>
    <w:r>
      <w:tab/>
    </w:r>
    <w:r>
      <w:rPr>
        <w:rStyle w:val="PageNumber"/>
      </w:rPr>
      <w:fldChar w:fldCharType="begin"/>
    </w:r>
    <w:r>
      <w:rPr>
        <w:rStyle w:val="PageNumber"/>
      </w:rPr>
      <w:instrText xml:space="preserve"> PAGE </w:instrText>
    </w:r>
    <w:r>
      <w:rPr>
        <w:rStyle w:val="PageNumber"/>
      </w:rPr>
      <w:fldChar w:fldCharType="separate"/>
    </w:r>
    <w:r w:rsidR="008E4E7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4E71">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1DE5" w14:textId="77777777" w:rsidR="009913FB" w:rsidRDefault="009913FB">
      <w:r>
        <w:separator/>
      </w:r>
    </w:p>
  </w:footnote>
  <w:footnote w:type="continuationSeparator" w:id="0">
    <w:p w14:paraId="59F9EC33" w14:textId="77777777" w:rsidR="009913FB" w:rsidRDefault="009913FB">
      <w:r>
        <w:continuationSeparator/>
      </w:r>
    </w:p>
  </w:footnote>
  <w:footnote w:type="continuationNotice" w:id="1">
    <w:p w14:paraId="38B13A14" w14:textId="77777777" w:rsidR="009913FB" w:rsidRDefault="009913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6F5"/>
    <w:multiLevelType w:val="hybridMultilevel"/>
    <w:tmpl w:val="691E3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6F5148"/>
    <w:multiLevelType w:val="hybridMultilevel"/>
    <w:tmpl w:val="0BA89CB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8DD126E"/>
    <w:multiLevelType w:val="hybridMultilevel"/>
    <w:tmpl w:val="55BA164C"/>
    <w:lvl w:ilvl="0" w:tplc="C2D287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C22BA8"/>
    <w:multiLevelType w:val="hybridMultilevel"/>
    <w:tmpl w:val="C750E6EE"/>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6448A65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276"/>
        </w:tabs>
        <w:ind w:left="1276" w:hanging="1134"/>
      </w:pPr>
      <w:rPr>
        <w:rFonts w:hint="default"/>
        <w:b w:val="0"/>
        <w:i w:val="0"/>
      </w:rPr>
    </w:lvl>
    <w:lvl w:ilvl="2">
      <w:start w:val="1"/>
      <w:numFmt w:val="decimal"/>
      <w:pStyle w:val="Numberedlevel3text"/>
      <w:lvlText w:val="%1.%2.%3"/>
      <w:lvlJc w:val="left"/>
      <w:pPr>
        <w:tabs>
          <w:tab w:val="num" w:pos="1134"/>
        </w:tabs>
        <w:ind w:left="1134" w:hanging="1134"/>
      </w:pPr>
      <w:rPr>
        <w:rFonts w:hint="default"/>
        <w:b w:val="0"/>
        <w:i w:val="0"/>
        <w:sz w:val="24"/>
        <w:szCs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D357AC"/>
    <w:multiLevelType w:val="hybridMultilevel"/>
    <w:tmpl w:val="B7AE1288"/>
    <w:lvl w:ilvl="0" w:tplc="4394D868">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904F6"/>
    <w:multiLevelType w:val="hybridMultilevel"/>
    <w:tmpl w:val="F6B063DA"/>
    <w:lvl w:ilvl="0" w:tplc="08090001">
      <w:start w:val="1"/>
      <w:numFmt w:val="bullet"/>
      <w:lvlText w:val=""/>
      <w:lvlJc w:val="left"/>
      <w:pPr>
        <w:ind w:left="1440" w:hanging="360"/>
      </w:pPr>
      <w:rPr>
        <w:rFonts w:ascii="Symbol" w:hAnsi="Symbol" w:hint="default"/>
      </w:rPr>
    </w:lvl>
    <w:lvl w:ilvl="1" w:tplc="0F0EE3A8">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992738"/>
    <w:multiLevelType w:val="hybridMultilevel"/>
    <w:tmpl w:val="9104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D3926"/>
    <w:multiLevelType w:val="hybridMultilevel"/>
    <w:tmpl w:val="B52A8A74"/>
    <w:lvl w:ilvl="0" w:tplc="A5B0CF92">
      <w:start w:val="1"/>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51557834">
    <w:abstractNumId w:val="2"/>
  </w:num>
  <w:num w:numId="2" w16cid:durableId="1005742015">
    <w:abstractNumId w:val="24"/>
  </w:num>
  <w:num w:numId="3" w16cid:durableId="1775977208">
    <w:abstractNumId w:val="16"/>
  </w:num>
  <w:num w:numId="4" w16cid:durableId="707535609">
    <w:abstractNumId w:val="17"/>
  </w:num>
  <w:num w:numId="5" w16cid:durableId="1681395567">
    <w:abstractNumId w:val="1"/>
  </w:num>
  <w:num w:numId="6" w16cid:durableId="897783447">
    <w:abstractNumId w:val="4"/>
  </w:num>
  <w:num w:numId="7" w16cid:durableId="125785322">
    <w:abstractNumId w:val="10"/>
  </w:num>
  <w:num w:numId="8" w16cid:durableId="192428478">
    <w:abstractNumId w:val="6"/>
  </w:num>
  <w:num w:numId="9" w16cid:durableId="1279605300">
    <w:abstractNumId w:val="8"/>
  </w:num>
  <w:num w:numId="10" w16cid:durableId="692003546">
    <w:abstractNumId w:val="12"/>
  </w:num>
  <w:num w:numId="11" w16cid:durableId="1985232683">
    <w:abstractNumId w:val="11"/>
  </w:num>
  <w:num w:numId="12" w16cid:durableId="1078016734">
    <w:abstractNumId w:val="13"/>
  </w:num>
  <w:num w:numId="13" w16cid:durableId="468132921">
    <w:abstractNumId w:val="20"/>
  </w:num>
  <w:num w:numId="14" w16cid:durableId="1173838249">
    <w:abstractNumId w:val="5"/>
  </w:num>
  <w:num w:numId="15" w16cid:durableId="317657456">
    <w:abstractNumId w:val="23"/>
  </w:num>
  <w:num w:numId="16" w16cid:durableId="541944369">
    <w:abstractNumId w:val="9"/>
  </w:num>
  <w:num w:numId="17" w16cid:durableId="2065331529">
    <w:abstractNumId w:val="18"/>
  </w:num>
  <w:num w:numId="18" w16cid:durableId="1620648385">
    <w:abstractNumId w:val="22"/>
  </w:num>
  <w:num w:numId="19" w16cid:durableId="201555022">
    <w:abstractNumId w:val="7"/>
  </w:num>
  <w:num w:numId="20" w16cid:durableId="501819864">
    <w:abstractNumId w:val="25"/>
  </w:num>
  <w:num w:numId="21" w16cid:durableId="2103986923">
    <w:abstractNumId w:val="10"/>
  </w:num>
  <w:num w:numId="22" w16cid:durableId="1592858040">
    <w:abstractNumId w:val="10"/>
  </w:num>
  <w:num w:numId="23" w16cid:durableId="1430547396">
    <w:abstractNumId w:val="10"/>
  </w:num>
  <w:num w:numId="24" w16cid:durableId="46597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909606">
    <w:abstractNumId w:val="26"/>
  </w:num>
  <w:num w:numId="26" w16cid:durableId="1589341025">
    <w:abstractNumId w:val="10"/>
  </w:num>
  <w:num w:numId="27" w16cid:durableId="944266528">
    <w:abstractNumId w:val="10"/>
  </w:num>
  <w:num w:numId="28" w16cid:durableId="1514416170">
    <w:abstractNumId w:val="0"/>
  </w:num>
  <w:num w:numId="29" w16cid:durableId="250050265">
    <w:abstractNumId w:val="10"/>
  </w:num>
  <w:num w:numId="30" w16cid:durableId="1537697424">
    <w:abstractNumId w:val="10"/>
  </w:num>
  <w:num w:numId="31" w16cid:durableId="1602300790">
    <w:abstractNumId w:val="10"/>
  </w:num>
  <w:num w:numId="32" w16cid:durableId="1588071879">
    <w:abstractNumId w:val="10"/>
  </w:num>
  <w:num w:numId="33" w16cid:durableId="629635105">
    <w:abstractNumId w:val="10"/>
  </w:num>
  <w:num w:numId="34" w16cid:durableId="1611357881">
    <w:abstractNumId w:val="10"/>
  </w:num>
  <w:num w:numId="35" w16cid:durableId="2041777930">
    <w:abstractNumId w:val="10"/>
  </w:num>
  <w:num w:numId="36" w16cid:durableId="1725254297">
    <w:abstractNumId w:val="19"/>
  </w:num>
  <w:num w:numId="37" w16cid:durableId="1637489524">
    <w:abstractNumId w:val="10"/>
  </w:num>
  <w:num w:numId="38" w16cid:durableId="975529405">
    <w:abstractNumId w:val="10"/>
  </w:num>
  <w:num w:numId="39" w16cid:durableId="1461529685">
    <w:abstractNumId w:val="3"/>
  </w:num>
  <w:num w:numId="40" w16cid:durableId="1005405083">
    <w:abstractNumId w:val="14"/>
  </w:num>
  <w:num w:numId="41" w16cid:durableId="965963257">
    <w:abstractNumId w:val="15"/>
  </w:num>
  <w:num w:numId="42" w16cid:durableId="1531187001">
    <w:abstractNumId w:val="10"/>
  </w:num>
  <w:num w:numId="43" w16cid:durableId="167734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30"/>
    <w:rsid w:val="0000011F"/>
    <w:rsid w:val="000006D3"/>
    <w:rsid w:val="00000C29"/>
    <w:rsid w:val="000054E0"/>
    <w:rsid w:val="0000592A"/>
    <w:rsid w:val="00007D37"/>
    <w:rsid w:val="000119FB"/>
    <w:rsid w:val="00013DC0"/>
    <w:rsid w:val="00014EE4"/>
    <w:rsid w:val="00016175"/>
    <w:rsid w:val="0001632B"/>
    <w:rsid w:val="00016583"/>
    <w:rsid w:val="00017367"/>
    <w:rsid w:val="000229AA"/>
    <w:rsid w:val="000250E2"/>
    <w:rsid w:val="0002525A"/>
    <w:rsid w:val="00027256"/>
    <w:rsid w:val="00031B1A"/>
    <w:rsid w:val="00042423"/>
    <w:rsid w:val="00042772"/>
    <w:rsid w:val="0004442F"/>
    <w:rsid w:val="00044C79"/>
    <w:rsid w:val="00050AD5"/>
    <w:rsid w:val="000512B2"/>
    <w:rsid w:val="000522FA"/>
    <w:rsid w:val="000544F9"/>
    <w:rsid w:val="00057014"/>
    <w:rsid w:val="000611F2"/>
    <w:rsid w:val="00065994"/>
    <w:rsid w:val="00073186"/>
    <w:rsid w:val="0007349D"/>
    <w:rsid w:val="000741EE"/>
    <w:rsid w:val="0007449C"/>
    <w:rsid w:val="00076F8D"/>
    <w:rsid w:val="00081B94"/>
    <w:rsid w:val="0008226E"/>
    <w:rsid w:val="00082505"/>
    <w:rsid w:val="00084B70"/>
    <w:rsid w:val="0008656C"/>
    <w:rsid w:val="0008679D"/>
    <w:rsid w:val="000869E8"/>
    <w:rsid w:val="000915DF"/>
    <w:rsid w:val="000946AA"/>
    <w:rsid w:val="000959DB"/>
    <w:rsid w:val="00096EBB"/>
    <w:rsid w:val="00097512"/>
    <w:rsid w:val="000A2A1E"/>
    <w:rsid w:val="000A3220"/>
    <w:rsid w:val="000A6126"/>
    <w:rsid w:val="000A7E1D"/>
    <w:rsid w:val="000B0A6F"/>
    <w:rsid w:val="000B13A8"/>
    <w:rsid w:val="000B3A22"/>
    <w:rsid w:val="000B5B7B"/>
    <w:rsid w:val="000B773E"/>
    <w:rsid w:val="000C0D6A"/>
    <w:rsid w:val="000C11FA"/>
    <w:rsid w:val="000C1792"/>
    <w:rsid w:val="000C1BB0"/>
    <w:rsid w:val="000D00FF"/>
    <w:rsid w:val="000D0BBA"/>
    <w:rsid w:val="000D0ED6"/>
    <w:rsid w:val="000D1037"/>
    <w:rsid w:val="000D3B9D"/>
    <w:rsid w:val="000D3C21"/>
    <w:rsid w:val="000D79AB"/>
    <w:rsid w:val="000D7D5F"/>
    <w:rsid w:val="000E2B39"/>
    <w:rsid w:val="000E344D"/>
    <w:rsid w:val="000E4242"/>
    <w:rsid w:val="000E53C1"/>
    <w:rsid w:val="000E5BE4"/>
    <w:rsid w:val="000F24C6"/>
    <w:rsid w:val="000F44F0"/>
    <w:rsid w:val="0010094B"/>
    <w:rsid w:val="00101F34"/>
    <w:rsid w:val="00102B3E"/>
    <w:rsid w:val="0011038E"/>
    <w:rsid w:val="001107C9"/>
    <w:rsid w:val="001135B7"/>
    <w:rsid w:val="00113BE7"/>
    <w:rsid w:val="0011479E"/>
    <w:rsid w:val="00117403"/>
    <w:rsid w:val="00121777"/>
    <w:rsid w:val="0012216C"/>
    <w:rsid w:val="0012374F"/>
    <w:rsid w:val="00127262"/>
    <w:rsid w:val="00130D71"/>
    <w:rsid w:val="001354A9"/>
    <w:rsid w:val="00140A3F"/>
    <w:rsid w:val="00141E7E"/>
    <w:rsid w:val="00143BCE"/>
    <w:rsid w:val="00147DF8"/>
    <w:rsid w:val="001535C0"/>
    <w:rsid w:val="00153817"/>
    <w:rsid w:val="00154341"/>
    <w:rsid w:val="0015443E"/>
    <w:rsid w:val="00155DBF"/>
    <w:rsid w:val="00156E2B"/>
    <w:rsid w:val="00161AA0"/>
    <w:rsid w:val="00162AD3"/>
    <w:rsid w:val="00164685"/>
    <w:rsid w:val="001676B3"/>
    <w:rsid w:val="00176F83"/>
    <w:rsid w:val="0019052F"/>
    <w:rsid w:val="00192B6D"/>
    <w:rsid w:val="001933DF"/>
    <w:rsid w:val="00195058"/>
    <w:rsid w:val="001956FC"/>
    <w:rsid w:val="001A4811"/>
    <w:rsid w:val="001A4E33"/>
    <w:rsid w:val="001A5CC4"/>
    <w:rsid w:val="001B0672"/>
    <w:rsid w:val="001B0DBB"/>
    <w:rsid w:val="001B1A00"/>
    <w:rsid w:val="001B1B31"/>
    <w:rsid w:val="001B20E8"/>
    <w:rsid w:val="001C1F33"/>
    <w:rsid w:val="001C3154"/>
    <w:rsid w:val="001C3761"/>
    <w:rsid w:val="001C3AFF"/>
    <w:rsid w:val="001C48FA"/>
    <w:rsid w:val="001C73A8"/>
    <w:rsid w:val="001D02D8"/>
    <w:rsid w:val="001D1BEC"/>
    <w:rsid w:val="001D3C74"/>
    <w:rsid w:val="001E3C58"/>
    <w:rsid w:val="001E3FB6"/>
    <w:rsid w:val="001F0284"/>
    <w:rsid w:val="001F0DDE"/>
    <w:rsid w:val="001F1074"/>
    <w:rsid w:val="001F2645"/>
    <w:rsid w:val="001F277A"/>
    <w:rsid w:val="001F2FA5"/>
    <w:rsid w:val="00200430"/>
    <w:rsid w:val="00200748"/>
    <w:rsid w:val="0020088F"/>
    <w:rsid w:val="00201984"/>
    <w:rsid w:val="00202A54"/>
    <w:rsid w:val="00202B25"/>
    <w:rsid w:val="00203341"/>
    <w:rsid w:val="0020395C"/>
    <w:rsid w:val="00205150"/>
    <w:rsid w:val="00205D95"/>
    <w:rsid w:val="002066EC"/>
    <w:rsid w:val="00211383"/>
    <w:rsid w:val="0021227E"/>
    <w:rsid w:val="00212788"/>
    <w:rsid w:val="00216814"/>
    <w:rsid w:val="002216AC"/>
    <w:rsid w:val="00222480"/>
    <w:rsid w:val="00223B9C"/>
    <w:rsid w:val="00223CE5"/>
    <w:rsid w:val="00224577"/>
    <w:rsid w:val="00230026"/>
    <w:rsid w:val="00233D60"/>
    <w:rsid w:val="0023472E"/>
    <w:rsid w:val="00234D65"/>
    <w:rsid w:val="00234FC2"/>
    <w:rsid w:val="002351A5"/>
    <w:rsid w:val="002353D8"/>
    <w:rsid w:val="002355FA"/>
    <w:rsid w:val="00235C36"/>
    <w:rsid w:val="00235CAB"/>
    <w:rsid w:val="00237E82"/>
    <w:rsid w:val="00240515"/>
    <w:rsid w:val="002436B6"/>
    <w:rsid w:val="00244E6E"/>
    <w:rsid w:val="00246F53"/>
    <w:rsid w:val="00250E47"/>
    <w:rsid w:val="002531F7"/>
    <w:rsid w:val="00253A6C"/>
    <w:rsid w:val="0025534E"/>
    <w:rsid w:val="00257B8A"/>
    <w:rsid w:val="002614B9"/>
    <w:rsid w:val="00262377"/>
    <w:rsid w:val="00262BA0"/>
    <w:rsid w:val="00264AFD"/>
    <w:rsid w:val="00264B14"/>
    <w:rsid w:val="0026738D"/>
    <w:rsid w:val="00271563"/>
    <w:rsid w:val="00271C3B"/>
    <w:rsid w:val="00272195"/>
    <w:rsid w:val="002724E1"/>
    <w:rsid w:val="00272C4F"/>
    <w:rsid w:val="00275EFC"/>
    <w:rsid w:val="00276E0F"/>
    <w:rsid w:val="00277963"/>
    <w:rsid w:val="00280967"/>
    <w:rsid w:val="00284530"/>
    <w:rsid w:val="00290B1A"/>
    <w:rsid w:val="002923F2"/>
    <w:rsid w:val="00295300"/>
    <w:rsid w:val="0029745A"/>
    <w:rsid w:val="002B1665"/>
    <w:rsid w:val="002B42B1"/>
    <w:rsid w:val="002B4BD4"/>
    <w:rsid w:val="002B7685"/>
    <w:rsid w:val="002C2C01"/>
    <w:rsid w:val="002D090C"/>
    <w:rsid w:val="002D2318"/>
    <w:rsid w:val="002D2A2C"/>
    <w:rsid w:val="002D2F33"/>
    <w:rsid w:val="002D3A52"/>
    <w:rsid w:val="002D5880"/>
    <w:rsid w:val="002D692F"/>
    <w:rsid w:val="002E0D73"/>
    <w:rsid w:val="002E0DA7"/>
    <w:rsid w:val="002E30B8"/>
    <w:rsid w:val="002E4E87"/>
    <w:rsid w:val="002E63A2"/>
    <w:rsid w:val="002F037B"/>
    <w:rsid w:val="002F1C9B"/>
    <w:rsid w:val="002F279A"/>
    <w:rsid w:val="002F7C62"/>
    <w:rsid w:val="003006C6"/>
    <w:rsid w:val="00301650"/>
    <w:rsid w:val="00301C0E"/>
    <w:rsid w:val="003023CE"/>
    <w:rsid w:val="003050A1"/>
    <w:rsid w:val="003052E2"/>
    <w:rsid w:val="00311281"/>
    <w:rsid w:val="00311FAA"/>
    <w:rsid w:val="0031664C"/>
    <w:rsid w:val="00321C6F"/>
    <w:rsid w:val="003232E6"/>
    <w:rsid w:val="00324CAD"/>
    <w:rsid w:val="00325B14"/>
    <w:rsid w:val="003268CE"/>
    <w:rsid w:val="00327206"/>
    <w:rsid w:val="00327A17"/>
    <w:rsid w:val="00332616"/>
    <w:rsid w:val="003329AB"/>
    <w:rsid w:val="003330E6"/>
    <w:rsid w:val="003333BE"/>
    <w:rsid w:val="003339F6"/>
    <w:rsid w:val="003341CA"/>
    <w:rsid w:val="00337A5C"/>
    <w:rsid w:val="00337BE1"/>
    <w:rsid w:val="0034060C"/>
    <w:rsid w:val="00340887"/>
    <w:rsid w:val="00340F43"/>
    <w:rsid w:val="00341551"/>
    <w:rsid w:val="00343915"/>
    <w:rsid w:val="00343E53"/>
    <w:rsid w:val="003507AB"/>
    <w:rsid w:val="00352392"/>
    <w:rsid w:val="00352621"/>
    <w:rsid w:val="00353669"/>
    <w:rsid w:val="00353DE5"/>
    <w:rsid w:val="00355955"/>
    <w:rsid w:val="003565A6"/>
    <w:rsid w:val="00356827"/>
    <w:rsid w:val="00356EB4"/>
    <w:rsid w:val="003601D9"/>
    <w:rsid w:val="00364195"/>
    <w:rsid w:val="0036596C"/>
    <w:rsid w:val="00365974"/>
    <w:rsid w:val="0036621F"/>
    <w:rsid w:val="00370A18"/>
    <w:rsid w:val="00377AC7"/>
    <w:rsid w:val="00380332"/>
    <w:rsid w:val="00380637"/>
    <w:rsid w:val="00380AC8"/>
    <w:rsid w:val="00381A1B"/>
    <w:rsid w:val="003828E3"/>
    <w:rsid w:val="00383F93"/>
    <w:rsid w:val="0038481F"/>
    <w:rsid w:val="00385FAB"/>
    <w:rsid w:val="00387C51"/>
    <w:rsid w:val="00387E3F"/>
    <w:rsid w:val="00390D67"/>
    <w:rsid w:val="00391E85"/>
    <w:rsid w:val="00392046"/>
    <w:rsid w:val="00392693"/>
    <w:rsid w:val="0039672B"/>
    <w:rsid w:val="00396F31"/>
    <w:rsid w:val="00397364"/>
    <w:rsid w:val="00397FB2"/>
    <w:rsid w:val="003A26D8"/>
    <w:rsid w:val="003A3974"/>
    <w:rsid w:val="003A3BCF"/>
    <w:rsid w:val="003A46D6"/>
    <w:rsid w:val="003B12A4"/>
    <w:rsid w:val="003B4DDC"/>
    <w:rsid w:val="003B57E0"/>
    <w:rsid w:val="003B58DB"/>
    <w:rsid w:val="003B639F"/>
    <w:rsid w:val="003C1A64"/>
    <w:rsid w:val="003C209B"/>
    <w:rsid w:val="003C22D1"/>
    <w:rsid w:val="003C305D"/>
    <w:rsid w:val="003C36AC"/>
    <w:rsid w:val="003C426E"/>
    <w:rsid w:val="003C4376"/>
    <w:rsid w:val="003C5D2A"/>
    <w:rsid w:val="003D7BE0"/>
    <w:rsid w:val="003E1C5E"/>
    <w:rsid w:val="003E305E"/>
    <w:rsid w:val="003E50EF"/>
    <w:rsid w:val="003E6326"/>
    <w:rsid w:val="003E6C53"/>
    <w:rsid w:val="003F1CAA"/>
    <w:rsid w:val="003F32B2"/>
    <w:rsid w:val="003F54C2"/>
    <w:rsid w:val="003F63A7"/>
    <w:rsid w:val="003F77BD"/>
    <w:rsid w:val="003F7DA3"/>
    <w:rsid w:val="004000D6"/>
    <w:rsid w:val="004038E5"/>
    <w:rsid w:val="00404D0E"/>
    <w:rsid w:val="0040662E"/>
    <w:rsid w:val="00406C5D"/>
    <w:rsid w:val="00411283"/>
    <w:rsid w:val="00411440"/>
    <w:rsid w:val="00412BA6"/>
    <w:rsid w:val="00416C96"/>
    <w:rsid w:val="004243E4"/>
    <w:rsid w:val="00425D26"/>
    <w:rsid w:val="00432620"/>
    <w:rsid w:val="00435DEE"/>
    <w:rsid w:val="00436638"/>
    <w:rsid w:val="00437CF7"/>
    <w:rsid w:val="00437F21"/>
    <w:rsid w:val="004402BF"/>
    <w:rsid w:val="00441035"/>
    <w:rsid w:val="004416A0"/>
    <w:rsid w:val="00441A0E"/>
    <w:rsid w:val="00441FE2"/>
    <w:rsid w:val="004420D0"/>
    <w:rsid w:val="00442F04"/>
    <w:rsid w:val="00443036"/>
    <w:rsid w:val="0044320C"/>
    <w:rsid w:val="00444CCD"/>
    <w:rsid w:val="00446E03"/>
    <w:rsid w:val="004471BE"/>
    <w:rsid w:val="0045017F"/>
    <w:rsid w:val="00452B61"/>
    <w:rsid w:val="00453F87"/>
    <w:rsid w:val="00454A86"/>
    <w:rsid w:val="004566BF"/>
    <w:rsid w:val="00457294"/>
    <w:rsid w:val="004600F8"/>
    <w:rsid w:val="004613CA"/>
    <w:rsid w:val="004627C5"/>
    <w:rsid w:val="00463B22"/>
    <w:rsid w:val="00464D59"/>
    <w:rsid w:val="00465954"/>
    <w:rsid w:val="00466791"/>
    <w:rsid w:val="00467F06"/>
    <w:rsid w:val="00471D64"/>
    <w:rsid w:val="0047440A"/>
    <w:rsid w:val="00477916"/>
    <w:rsid w:val="004820E9"/>
    <w:rsid w:val="0048361F"/>
    <w:rsid w:val="0048596E"/>
    <w:rsid w:val="00490274"/>
    <w:rsid w:val="00491A3E"/>
    <w:rsid w:val="00491D53"/>
    <w:rsid w:val="00492EF0"/>
    <w:rsid w:val="00493301"/>
    <w:rsid w:val="00494159"/>
    <w:rsid w:val="00496E22"/>
    <w:rsid w:val="00497BC9"/>
    <w:rsid w:val="004A26EC"/>
    <w:rsid w:val="004A28B7"/>
    <w:rsid w:val="004A291D"/>
    <w:rsid w:val="004A4E41"/>
    <w:rsid w:val="004A5017"/>
    <w:rsid w:val="004A5757"/>
    <w:rsid w:val="004A5E21"/>
    <w:rsid w:val="004A7A1E"/>
    <w:rsid w:val="004B05CA"/>
    <w:rsid w:val="004B0605"/>
    <w:rsid w:val="004B1875"/>
    <w:rsid w:val="004B4440"/>
    <w:rsid w:val="004B514C"/>
    <w:rsid w:val="004B5C4C"/>
    <w:rsid w:val="004B77CE"/>
    <w:rsid w:val="004C16BA"/>
    <w:rsid w:val="004C7F2B"/>
    <w:rsid w:val="004D6761"/>
    <w:rsid w:val="004E5848"/>
    <w:rsid w:val="004F0EE5"/>
    <w:rsid w:val="004F104C"/>
    <w:rsid w:val="004F1962"/>
    <w:rsid w:val="004F3757"/>
    <w:rsid w:val="004F38C3"/>
    <w:rsid w:val="004F4F80"/>
    <w:rsid w:val="004F76A6"/>
    <w:rsid w:val="004F7CFE"/>
    <w:rsid w:val="004F7D02"/>
    <w:rsid w:val="0050051D"/>
    <w:rsid w:val="005030E1"/>
    <w:rsid w:val="0050350C"/>
    <w:rsid w:val="00506D55"/>
    <w:rsid w:val="00507003"/>
    <w:rsid w:val="005113B3"/>
    <w:rsid w:val="0051176C"/>
    <w:rsid w:val="00511CDE"/>
    <w:rsid w:val="005170EA"/>
    <w:rsid w:val="0052025E"/>
    <w:rsid w:val="00521940"/>
    <w:rsid w:val="005254A6"/>
    <w:rsid w:val="00526504"/>
    <w:rsid w:val="00526C07"/>
    <w:rsid w:val="00527E41"/>
    <w:rsid w:val="00530D37"/>
    <w:rsid w:val="00530E29"/>
    <w:rsid w:val="0053387C"/>
    <w:rsid w:val="00533AEE"/>
    <w:rsid w:val="005368BA"/>
    <w:rsid w:val="0054168C"/>
    <w:rsid w:val="00543EB3"/>
    <w:rsid w:val="00546F40"/>
    <w:rsid w:val="00546FDA"/>
    <w:rsid w:val="005510EE"/>
    <w:rsid w:val="0055177F"/>
    <w:rsid w:val="0055592D"/>
    <w:rsid w:val="005566E5"/>
    <w:rsid w:val="00556C98"/>
    <w:rsid w:val="005600D9"/>
    <w:rsid w:val="00561346"/>
    <w:rsid w:val="00561E27"/>
    <w:rsid w:val="005635A8"/>
    <w:rsid w:val="00563E03"/>
    <w:rsid w:val="00572AEB"/>
    <w:rsid w:val="00574D9D"/>
    <w:rsid w:val="00575014"/>
    <w:rsid w:val="00575590"/>
    <w:rsid w:val="00577F59"/>
    <w:rsid w:val="00582497"/>
    <w:rsid w:val="005830E2"/>
    <w:rsid w:val="0058374F"/>
    <w:rsid w:val="00585BD7"/>
    <w:rsid w:val="00586F8C"/>
    <w:rsid w:val="0059009B"/>
    <w:rsid w:val="00597B8F"/>
    <w:rsid w:val="005A1933"/>
    <w:rsid w:val="005A2664"/>
    <w:rsid w:val="005A3702"/>
    <w:rsid w:val="005A5354"/>
    <w:rsid w:val="005A62AE"/>
    <w:rsid w:val="005A76B8"/>
    <w:rsid w:val="005B283A"/>
    <w:rsid w:val="005B2D57"/>
    <w:rsid w:val="005B5AE1"/>
    <w:rsid w:val="005C051F"/>
    <w:rsid w:val="005C4707"/>
    <w:rsid w:val="005C54C1"/>
    <w:rsid w:val="005C762E"/>
    <w:rsid w:val="005D098C"/>
    <w:rsid w:val="005D2697"/>
    <w:rsid w:val="005D271B"/>
    <w:rsid w:val="005D362B"/>
    <w:rsid w:val="005D45C5"/>
    <w:rsid w:val="005D5B9E"/>
    <w:rsid w:val="005E1599"/>
    <w:rsid w:val="005E522E"/>
    <w:rsid w:val="005E60FC"/>
    <w:rsid w:val="005E73C1"/>
    <w:rsid w:val="005F1CAF"/>
    <w:rsid w:val="005F2EAB"/>
    <w:rsid w:val="005F5D48"/>
    <w:rsid w:val="005F5EC0"/>
    <w:rsid w:val="005F6EB7"/>
    <w:rsid w:val="005F75DF"/>
    <w:rsid w:val="00600EE3"/>
    <w:rsid w:val="00601AE7"/>
    <w:rsid w:val="006045D6"/>
    <w:rsid w:val="0060536A"/>
    <w:rsid w:val="00605F33"/>
    <w:rsid w:val="0060662A"/>
    <w:rsid w:val="00606AE3"/>
    <w:rsid w:val="00612789"/>
    <w:rsid w:val="00613C4F"/>
    <w:rsid w:val="00614BDA"/>
    <w:rsid w:val="00615F78"/>
    <w:rsid w:val="006166A2"/>
    <w:rsid w:val="00616924"/>
    <w:rsid w:val="0062266D"/>
    <w:rsid w:val="00622A3D"/>
    <w:rsid w:val="00624868"/>
    <w:rsid w:val="00627AAB"/>
    <w:rsid w:val="00627D3C"/>
    <w:rsid w:val="006305C8"/>
    <w:rsid w:val="00630973"/>
    <w:rsid w:val="006331B4"/>
    <w:rsid w:val="006343F3"/>
    <w:rsid w:val="00636427"/>
    <w:rsid w:val="00642906"/>
    <w:rsid w:val="006457EF"/>
    <w:rsid w:val="00646BB4"/>
    <w:rsid w:val="006518A0"/>
    <w:rsid w:val="00651E35"/>
    <w:rsid w:val="0065315C"/>
    <w:rsid w:val="006547A1"/>
    <w:rsid w:val="00655070"/>
    <w:rsid w:val="00656B47"/>
    <w:rsid w:val="00661C45"/>
    <w:rsid w:val="00663A55"/>
    <w:rsid w:val="00663EC3"/>
    <w:rsid w:val="00665C16"/>
    <w:rsid w:val="00665FBB"/>
    <w:rsid w:val="0066780E"/>
    <w:rsid w:val="00667AE5"/>
    <w:rsid w:val="006757DF"/>
    <w:rsid w:val="006758E9"/>
    <w:rsid w:val="00677F9F"/>
    <w:rsid w:val="006803CA"/>
    <w:rsid w:val="00680CB2"/>
    <w:rsid w:val="00682B75"/>
    <w:rsid w:val="006866A6"/>
    <w:rsid w:val="006901C1"/>
    <w:rsid w:val="0069038C"/>
    <w:rsid w:val="00690C94"/>
    <w:rsid w:val="00695071"/>
    <w:rsid w:val="006956CB"/>
    <w:rsid w:val="0069613E"/>
    <w:rsid w:val="006A104E"/>
    <w:rsid w:val="006A2A9F"/>
    <w:rsid w:val="006A318D"/>
    <w:rsid w:val="006A3860"/>
    <w:rsid w:val="006A455C"/>
    <w:rsid w:val="006A5FCD"/>
    <w:rsid w:val="006A721F"/>
    <w:rsid w:val="006B0B8B"/>
    <w:rsid w:val="006B49F3"/>
    <w:rsid w:val="006B4CA3"/>
    <w:rsid w:val="006B63FE"/>
    <w:rsid w:val="006B730E"/>
    <w:rsid w:val="006C38E8"/>
    <w:rsid w:val="006C4EF6"/>
    <w:rsid w:val="006C6403"/>
    <w:rsid w:val="006C6499"/>
    <w:rsid w:val="006C649D"/>
    <w:rsid w:val="006D0F06"/>
    <w:rsid w:val="006D1E94"/>
    <w:rsid w:val="006D426F"/>
    <w:rsid w:val="006D4650"/>
    <w:rsid w:val="006D73F1"/>
    <w:rsid w:val="006E26CC"/>
    <w:rsid w:val="006E375E"/>
    <w:rsid w:val="006E6C13"/>
    <w:rsid w:val="006F35B9"/>
    <w:rsid w:val="006F5015"/>
    <w:rsid w:val="006F7F24"/>
    <w:rsid w:val="00700357"/>
    <w:rsid w:val="0070384E"/>
    <w:rsid w:val="00704C13"/>
    <w:rsid w:val="0070591E"/>
    <w:rsid w:val="007072C8"/>
    <w:rsid w:val="00707467"/>
    <w:rsid w:val="00707F1F"/>
    <w:rsid w:val="00710EE5"/>
    <w:rsid w:val="00712627"/>
    <w:rsid w:val="007133FC"/>
    <w:rsid w:val="0071473B"/>
    <w:rsid w:val="00714B16"/>
    <w:rsid w:val="007177A8"/>
    <w:rsid w:val="007177B2"/>
    <w:rsid w:val="00722E41"/>
    <w:rsid w:val="00724694"/>
    <w:rsid w:val="007255DF"/>
    <w:rsid w:val="007309F7"/>
    <w:rsid w:val="00732519"/>
    <w:rsid w:val="00733CE2"/>
    <w:rsid w:val="00741A75"/>
    <w:rsid w:val="0074474C"/>
    <w:rsid w:val="00746A97"/>
    <w:rsid w:val="0074744A"/>
    <w:rsid w:val="00750478"/>
    <w:rsid w:val="00751936"/>
    <w:rsid w:val="00751AE1"/>
    <w:rsid w:val="00752FE8"/>
    <w:rsid w:val="0075321A"/>
    <w:rsid w:val="00756196"/>
    <w:rsid w:val="00760A66"/>
    <w:rsid w:val="00760B3E"/>
    <w:rsid w:val="00761733"/>
    <w:rsid w:val="00761D4F"/>
    <w:rsid w:val="00762A52"/>
    <w:rsid w:val="00762D19"/>
    <w:rsid w:val="00765F7E"/>
    <w:rsid w:val="00773895"/>
    <w:rsid w:val="00773C77"/>
    <w:rsid w:val="00774579"/>
    <w:rsid w:val="007754E1"/>
    <w:rsid w:val="007801C5"/>
    <w:rsid w:val="0078041C"/>
    <w:rsid w:val="0078697C"/>
    <w:rsid w:val="0079012E"/>
    <w:rsid w:val="00792D52"/>
    <w:rsid w:val="00796D0E"/>
    <w:rsid w:val="00797DDA"/>
    <w:rsid w:val="007A15E2"/>
    <w:rsid w:val="007A1DA8"/>
    <w:rsid w:val="007A2A8B"/>
    <w:rsid w:val="007A2BA5"/>
    <w:rsid w:val="007A2BF7"/>
    <w:rsid w:val="007A37BC"/>
    <w:rsid w:val="007A4EEE"/>
    <w:rsid w:val="007A676E"/>
    <w:rsid w:val="007B11E7"/>
    <w:rsid w:val="007B1AE8"/>
    <w:rsid w:val="007B36FF"/>
    <w:rsid w:val="007B6DB1"/>
    <w:rsid w:val="007B6E16"/>
    <w:rsid w:val="007B7F7D"/>
    <w:rsid w:val="007C24C6"/>
    <w:rsid w:val="007C2855"/>
    <w:rsid w:val="007C3DAB"/>
    <w:rsid w:val="007C4A9F"/>
    <w:rsid w:val="007C6719"/>
    <w:rsid w:val="007C6E88"/>
    <w:rsid w:val="007D5027"/>
    <w:rsid w:val="007D559F"/>
    <w:rsid w:val="007D66D2"/>
    <w:rsid w:val="007F4DE1"/>
    <w:rsid w:val="008002E1"/>
    <w:rsid w:val="008005AC"/>
    <w:rsid w:val="00802323"/>
    <w:rsid w:val="00802BA4"/>
    <w:rsid w:val="0080362F"/>
    <w:rsid w:val="00803709"/>
    <w:rsid w:val="00804624"/>
    <w:rsid w:val="008048F9"/>
    <w:rsid w:val="008065F5"/>
    <w:rsid w:val="008068B3"/>
    <w:rsid w:val="00806F9C"/>
    <w:rsid w:val="00810615"/>
    <w:rsid w:val="00812FCF"/>
    <w:rsid w:val="0081319C"/>
    <w:rsid w:val="00813323"/>
    <w:rsid w:val="00815E69"/>
    <w:rsid w:val="00817C4A"/>
    <w:rsid w:val="00820DCC"/>
    <w:rsid w:val="0082139D"/>
    <w:rsid w:val="00825EAA"/>
    <w:rsid w:val="00832EAD"/>
    <w:rsid w:val="0083507D"/>
    <w:rsid w:val="00837A76"/>
    <w:rsid w:val="0084216C"/>
    <w:rsid w:val="00843F0B"/>
    <w:rsid w:val="008475B9"/>
    <w:rsid w:val="008505C3"/>
    <w:rsid w:val="00852344"/>
    <w:rsid w:val="008535C2"/>
    <w:rsid w:val="0085431A"/>
    <w:rsid w:val="00854CB0"/>
    <w:rsid w:val="00854FDB"/>
    <w:rsid w:val="00855792"/>
    <w:rsid w:val="008573D3"/>
    <w:rsid w:val="0086106B"/>
    <w:rsid w:val="008616F8"/>
    <w:rsid w:val="008617AE"/>
    <w:rsid w:val="0086406E"/>
    <w:rsid w:val="0086472B"/>
    <w:rsid w:val="00864E3E"/>
    <w:rsid w:val="00865EAB"/>
    <w:rsid w:val="00866211"/>
    <w:rsid w:val="00870B7D"/>
    <w:rsid w:val="00870DFE"/>
    <w:rsid w:val="00873852"/>
    <w:rsid w:val="00873B34"/>
    <w:rsid w:val="008761B5"/>
    <w:rsid w:val="00876B2C"/>
    <w:rsid w:val="00877774"/>
    <w:rsid w:val="00877C35"/>
    <w:rsid w:val="00882469"/>
    <w:rsid w:val="00883B7F"/>
    <w:rsid w:val="00884A14"/>
    <w:rsid w:val="00885AEC"/>
    <w:rsid w:val="0088739A"/>
    <w:rsid w:val="00887462"/>
    <w:rsid w:val="00890F2B"/>
    <w:rsid w:val="0089345E"/>
    <w:rsid w:val="008977A6"/>
    <w:rsid w:val="008A003B"/>
    <w:rsid w:val="008A1AF1"/>
    <w:rsid w:val="008A1E14"/>
    <w:rsid w:val="008A4A29"/>
    <w:rsid w:val="008B06BA"/>
    <w:rsid w:val="008B1075"/>
    <w:rsid w:val="008B34E5"/>
    <w:rsid w:val="008B4B8E"/>
    <w:rsid w:val="008B4F85"/>
    <w:rsid w:val="008B6694"/>
    <w:rsid w:val="008B6FE2"/>
    <w:rsid w:val="008C16CB"/>
    <w:rsid w:val="008C38D1"/>
    <w:rsid w:val="008C557B"/>
    <w:rsid w:val="008C5D51"/>
    <w:rsid w:val="008C640A"/>
    <w:rsid w:val="008D1C30"/>
    <w:rsid w:val="008D1DD1"/>
    <w:rsid w:val="008D4AD8"/>
    <w:rsid w:val="008D75A4"/>
    <w:rsid w:val="008E1627"/>
    <w:rsid w:val="008E2C89"/>
    <w:rsid w:val="008E4648"/>
    <w:rsid w:val="008E4E71"/>
    <w:rsid w:val="008E5BCC"/>
    <w:rsid w:val="008E629A"/>
    <w:rsid w:val="008E7585"/>
    <w:rsid w:val="008F21CF"/>
    <w:rsid w:val="008F44D8"/>
    <w:rsid w:val="00901E23"/>
    <w:rsid w:val="009039B5"/>
    <w:rsid w:val="0090508A"/>
    <w:rsid w:val="00905C43"/>
    <w:rsid w:val="00906351"/>
    <w:rsid w:val="00911D41"/>
    <w:rsid w:val="00911F0A"/>
    <w:rsid w:val="0091438E"/>
    <w:rsid w:val="00923AEF"/>
    <w:rsid w:val="0092657D"/>
    <w:rsid w:val="009273A7"/>
    <w:rsid w:val="00930882"/>
    <w:rsid w:val="009314D9"/>
    <w:rsid w:val="0093179B"/>
    <w:rsid w:val="009327E2"/>
    <w:rsid w:val="00933040"/>
    <w:rsid w:val="00934122"/>
    <w:rsid w:val="00935AB2"/>
    <w:rsid w:val="009403B5"/>
    <w:rsid w:val="00942391"/>
    <w:rsid w:val="009427F1"/>
    <w:rsid w:val="0094366C"/>
    <w:rsid w:val="0094411A"/>
    <w:rsid w:val="0094626E"/>
    <w:rsid w:val="00947482"/>
    <w:rsid w:val="00950421"/>
    <w:rsid w:val="00953ADF"/>
    <w:rsid w:val="00957EB9"/>
    <w:rsid w:val="0096147C"/>
    <w:rsid w:val="009621C2"/>
    <w:rsid w:val="009631D9"/>
    <w:rsid w:val="00963C81"/>
    <w:rsid w:val="00965418"/>
    <w:rsid w:val="00966487"/>
    <w:rsid w:val="00970226"/>
    <w:rsid w:val="00975C7B"/>
    <w:rsid w:val="009766B9"/>
    <w:rsid w:val="00976738"/>
    <w:rsid w:val="00976D57"/>
    <w:rsid w:val="00981BAD"/>
    <w:rsid w:val="00982190"/>
    <w:rsid w:val="009842CB"/>
    <w:rsid w:val="009848D6"/>
    <w:rsid w:val="00986C4C"/>
    <w:rsid w:val="0099044D"/>
    <w:rsid w:val="009913FB"/>
    <w:rsid w:val="009920E1"/>
    <w:rsid w:val="00994B70"/>
    <w:rsid w:val="00997755"/>
    <w:rsid w:val="009A063A"/>
    <w:rsid w:val="009A0F7E"/>
    <w:rsid w:val="009A2C85"/>
    <w:rsid w:val="009A5974"/>
    <w:rsid w:val="009B054B"/>
    <w:rsid w:val="009B39A1"/>
    <w:rsid w:val="009B3A6B"/>
    <w:rsid w:val="009B3F68"/>
    <w:rsid w:val="009B4544"/>
    <w:rsid w:val="009B621A"/>
    <w:rsid w:val="009C0A56"/>
    <w:rsid w:val="009C1B03"/>
    <w:rsid w:val="009C215B"/>
    <w:rsid w:val="009C45D9"/>
    <w:rsid w:val="009C5E88"/>
    <w:rsid w:val="009C6F32"/>
    <w:rsid w:val="009D0609"/>
    <w:rsid w:val="009D6CC8"/>
    <w:rsid w:val="009E22C4"/>
    <w:rsid w:val="009E2D6D"/>
    <w:rsid w:val="009E2EAD"/>
    <w:rsid w:val="009E3CF1"/>
    <w:rsid w:val="009E4389"/>
    <w:rsid w:val="009E52D0"/>
    <w:rsid w:val="009E5829"/>
    <w:rsid w:val="009E6782"/>
    <w:rsid w:val="009E68C4"/>
    <w:rsid w:val="009F081F"/>
    <w:rsid w:val="009F2F4C"/>
    <w:rsid w:val="009F2FE5"/>
    <w:rsid w:val="009F3E54"/>
    <w:rsid w:val="009F62EB"/>
    <w:rsid w:val="00A02D88"/>
    <w:rsid w:val="00A05035"/>
    <w:rsid w:val="00A06657"/>
    <w:rsid w:val="00A1111B"/>
    <w:rsid w:val="00A11248"/>
    <w:rsid w:val="00A134A1"/>
    <w:rsid w:val="00A1438B"/>
    <w:rsid w:val="00A15FA8"/>
    <w:rsid w:val="00A30B9B"/>
    <w:rsid w:val="00A336F2"/>
    <w:rsid w:val="00A33C63"/>
    <w:rsid w:val="00A37BF9"/>
    <w:rsid w:val="00A4368D"/>
    <w:rsid w:val="00A45B49"/>
    <w:rsid w:val="00A46206"/>
    <w:rsid w:val="00A47328"/>
    <w:rsid w:val="00A61A95"/>
    <w:rsid w:val="00A63B30"/>
    <w:rsid w:val="00A64360"/>
    <w:rsid w:val="00A6449E"/>
    <w:rsid w:val="00A644BF"/>
    <w:rsid w:val="00A65070"/>
    <w:rsid w:val="00A65903"/>
    <w:rsid w:val="00A661C6"/>
    <w:rsid w:val="00A67DA3"/>
    <w:rsid w:val="00A711A7"/>
    <w:rsid w:val="00A71410"/>
    <w:rsid w:val="00A748B2"/>
    <w:rsid w:val="00A7549D"/>
    <w:rsid w:val="00A76CA9"/>
    <w:rsid w:val="00A82D55"/>
    <w:rsid w:val="00A82F77"/>
    <w:rsid w:val="00A837FC"/>
    <w:rsid w:val="00A84F6D"/>
    <w:rsid w:val="00A86D3D"/>
    <w:rsid w:val="00A91C40"/>
    <w:rsid w:val="00A92CA7"/>
    <w:rsid w:val="00A9493F"/>
    <w:rsid w:val="00AA1219"/>
    <w:rsid w:val="00AA1809"/>
    <w:rsid w:val="00AA268C"/>
    <w:rsid w:val="00AA28AA"/>
    <w:rsid w:val="00AA7C6D"/>
    <w:rsid w:val="00AB26C3"/>
    <w:rsid w:val="00AB2948"/>
    <w:rsid w:val="00AB39FA"/>
    <w:rsid w:val="00AB6043"/>
    <w:rsid w:val="00AB6B43"/>
    <w:rsid w:val="00AB7EA3"/>
    <w:rsid w:val="00AC21C1"/>
    <w:rsid w:val="00AC2DB6"/>
    <w:rsid w:val="00AC57FC"/>
    <w:rsid w:val="00AC5C23"/>
    <w:rsid w:val="00AD0AAB"/>
    <w:rsid w:val="00AD10DD"/>
    <w:rsid w:val="00AD1498"/>
    <w:rsid w:val="00AD4C99"/>
    <w:rsid w:val="00AD6933"/>
    <w:rsid w:val="00AD6B7B"/>
    <w:rsid w:val="00AD706E"/>
    <w:rsid w:val="00AE0545"/>
    <w:rsid w:val="00AE098F"/>
    <w:rsid w:val="00AE352F"/>
    <w:rsid w:val="00AE5E7C"/>
    <w:rsid w:val="00AE6345"/>
    <w:rsid w:val="00AF251E"/>
    <w:rsid w:val="00AF384D"/>
    <w:rsid w:val="00AF3DB5"/>
    <w:rsid w:val="00AF67FE"/>
    <w:rsid w:val="00B01589"/>
    <w:rsid w:val="00B02E7C"/>
    <w:rsid w:val="00B0454E"/>
    <w:rsid w:val="00B06130"/>
    <w:rsid w:val="00B0742D"/>
    <w:rsid w:val="00B111C3"/>
    <w:rsid w:val="00B14B9B"/>
    <w:rsid w:val="00B1706E"/>
    <w:rsid w:val="00B20A28"/>
    <w:rsid w:val="00B21AC8"/>
    <w:rsid w:val="00B21EB6"/>
    <w:rsid w:val="00B22BA0"/>
    <w:rsid w:val="00B265DA"/>
    <w:rsid w:val="00B3024A"/>
    <w:rsid w:val="00B32A62"/>
    <w:rsid w:val="00B3619D"/>
    <w:rsid w:val="00B37D57"/>
    <w:rsid w:val="00B40295"/>
    <w:rsid w:val="00B40B93"/>
    <w:rsid w:val="00B41156"/>
    <w:rsid w:val="00B427B1"/>
    <w:rsid w:val="00B42EA4"/>
    <w:rsid w:val="00B54E9B"/>
    <w:rsid w:val="00B64310"/>
    <w:rsid w:val="00B64B0F"/>
    <w:rsid w:val="00B66350"/>
    <w:rsid w:val="00B66A36"/>
    <w:rsid w:val="00B70071"/>
    <w:rsid w:val="00B71248"/>
    <w:rsid w:val="00B75E23"/>
    <w:rsid w:val="00B75EE8"/>
    <w:rsid w:val="00B765CF"/>
    <w:rsid w:val="00B8105F"/>
    <w:rsid w:val="00B81A46"/>
    <w:rsid w:val="00B84C19"/>
    <w:rsid w:val="00B91037"/>
    <w:rsid w:val="00B91EB2"/>
    <w:rsid w:val="00B94DA1"/>
    <w:rsid w:val="00B95170"/>
    <w:rsid w:val="00B95B11"/>
    <w:rsid w:val="00B9680C"/>
    <w:rsid w:val="00B97436"/>
    <w:rsid w:val="00BA345F"/>
    <w:rsid w:val="00BA4B98"/>
    <w:rsid w:val="00BA5150"/>
    <w:rsid w:val="00BB047B"/>
    <w:rsid w:val="00BB1C9D"/>
    <w:rsid w:val="00BB230A"/>
    <w:rsid w:val="00BB6398"/>
    <w:rsid w:val="00BC2D77"/>
    <w:rsid w:val="00BC3CD9"/>
    <w:rsid w:val="00BC4C4F"/>
    <w:rsid w:val="00BC5D92"/>
    <w:rsid w:val="00BD0372"/>
    <w:rsid w:val="00BD1671"/>
    <w:rsid w:val="00BD1AC3"/>
    <w:rsid w:val="00BD6978"/>
    <w:rsid w:val="00BD70DF"/>
    <w:rsid w:val="00BD7DDE"/>
    <w:rsid w:val="00BE209C"/>
    <w:rsid w:val="00BE33DF"/>
    <w:rsid w:val="00BE61B1"/>
    <w:rsid w:val="00BE66F1"/>
    <w:rsid w:val="00BF027C"/>
    <w:rsid w:val="00BF02A7"/>
    <w:rsid w:val="00BF15DC"/>
    <w:rsid w:val="00BF40B3"/>
    <w:rsid w:val="00BF4862"/>
    <w:rsid w:val="00BF5808"/>
    <w:rsid w:val="00BF5F18"/>
    <w:rsid w:val="00C00216"/>
    <w:rsid w:val="00C00F82"/>
    <w:rsid w:val="00C01490"/>
    <w:rsid w:val="00C016D5"/>
    <w:rsid w:val="00C0384B"/>
    <w:rsid w:val="00C04D5C"/>
    <w:rsid w:val="00C052CF"/>
    <w:rsid w:val="00C070D9"/>
    <w:rsid w:val="00C072F7"/>
    <w:rsid w:val="00C11292"/>
    <w:rsid w:val="00C12467"/>
    <w:rsid w:val="00C13442"/>
    <w:rsid w:val="00C139CA"/>
    <w:rsid w:val="00C151ED"/>
    <w:rsid w:val="00C17EE0"/>
    <w:rsid w:val="00C2004D"/>
    <w:rsid w:val="00C20D91"/>
    <w:rsid w:val="00C22A58"/>
    <w:rsid w:val="00C24051"/>
    <w:rsid w:val="00C2725A"/>
    <w:rsid w:val="00C3210D"/>
    <w:rsid w:val="00C3444F"/>
    <w:rsid w:val="00C3461D"/>
    <w:rsid w:val="00C35118"/>
    <w:rsid w:val="00C36B38"/>
    <w:rsid w:val="00C4211C"/>
    <w:rsid w:val="00C4509A"/>
    <w:rsid w:val="00C459A0"/>
    <w:rsid w:val="00C45FF1"/>
    <w:rsid w:val="00C47C48"/>
    <w:rsid w:val="00C51429"/>
    <w:rsid w:val="00C5484E"/>
    <w:rsid w:val="00C558F8"/>
    <w:rsid w:val="00C56A69"/>
    <w:rsid w:val="00C600CE"/>
    <w:rsid w:val="00C60ABC"/>
    <w:rsid w:val="00C60AEF"/>
    <w:rsid w:val="00C62416"/>
    <w:rsid w:val="00C62632"/>
    <w:rsid w:val="00C65B98"/>
    <w:rsid w:val="00C66455"/>
    <w:rsid w:val="00C66661"/>
    <w:rsid w:val="00C677B3"/>
    <w:rsid w:val="00C70309"/>
    <w:rsid w:val="00C71885"/>
    <w:rsid w:val="00C71B45"/>
    <w:rsid w:val="00C74E50"/>
    <w:rsid w:val="00C75A6A"/>
    <w:rsid w:val="00C7623A"/>
    <w:rsid w:val="00C76DAE"/>
    <w:rsid w:val="00C804FC"/>
    <w:rsid w:val="00C84D04"/>
    <w:rsid w:val="00C856E1"/>
    <w:rsid w:val="00C863E4"/>
    <w:rsid w:val="00C864DB"/>
    <w:rsid w:val="00C86783"/>
    <w:rsid w:val="00C87525"/>
    <w:rsid w:val="00C875E7"/>
    <w:rsid w:val="00C875EF"/>
    <w:rsid w:val="00C87F99"/>
    <w:rsid w:val="00C92E78"/>
    <w:rsid w:val="00C943AC"/>
    <w:rsid w:val="00C951CC"/>
    <w:rsid w:val="00C97AA2"/>
    <w:rsid w:val="00CA0A8C"/>
    <w:rsid w:val="00CA1B17"/>
    <w:rsid w:val="00CB01AC"/>
    <w:rsid w:val="00CB1856"/>
    <w:rsid w:val="00CB2F79"/>
    <w:rsid w:val="00CB345C"/>
    <w:rsid w:val="00CB3D72"/>
    <w:rsid w:val="00CB3E78"/>
    <w:rsid w:val="00CB4C88"/>
    <w:rsid w:val="00CB67D5"/>
    <w:rsid w:val="00CB75E3"/>
    <w:rsid w:val="00CC19E9"/>
    <w:rsid w:val="00CC60BE"/>
    <w:rsid w:val="00CC6F1D"/>
    <w:rsid w:val="00CC73C5"/>
    <w:rsid w:val="00CC748E"/>
    <w:rsid w:val="00CC74B4"/>
    <w:rsid w:val="00CD0550"/>
    <w:rsid w:val="00CD09C4"/>
    <w:rsid w:val="00CD51EC"/>
    <w:rsid w:val="00CD5DDD"/>
    <w:rsid w:val="00CD7303"/>
    <w:rsid w:val="00CD7BD3"/>
    <w:rsid w:val="00CE0C87"/>
    <w:rsid w:val="00CE1C47"/>
    <w:rsid w:val="00CE67AF"/>
    <w:rsid w:val="00CE76EC"/>
    <w:rsid w:val="00CF2523"/>
    <w:rsid w:val="00CF30A3"/>
    <w:rsid w:val="00CF4A6C"/>
    <w:rsid w:val="00CF51A7"/>
    <w:rsid w:val="00CF5D71"/>
    <w:rsid w:val="00CF6920"/>
    <w:rsid w:val="00CF7937"/>
    <w:rsid w:val="00D0064A"/>
    <w:rsid w:val="00D01BEB"/>
    <w:rsid w:val="00D01E35"/>
    <w:rsid w:val="00D03C09"/>
    <w:rsid w:val="00D03EB8"/>
    <w:rsid w:val="00D07991"/>
    <w:rsid w:val="00D104B0"/>
    <w:rsid w:val="00D104BE"/>
    <w:rsid w:val="00D109B1"/>
    <w:rsid w:val="00D11742"/>
    <w:rsid w:val="00D14664"/>
    <w:rsid w:val="00D20F5D"/>
    <w:rsid w:val="00D246E3"/>
    <w:rsid w:val="00D25501"/>
    <w:rsid w:val="00D27C81"/>
    <w:rsid w:val="00D34A24"/>
    <w:rsid w:val="00D34A3A"/>
    <w:rsid w:val="00D3612A"/>
    <w:rsid w:val="00D368CC"/>
    <w:rsid w:val="00D36CE6"/>
    <w:rsid w:val="00D37703"/>
    <w:rsid w:val="00D37874"/>
    <w:rsid w:val="00D37C98"/>
    <w:rsid w:val="00D37F25"/>
    <w:rsid w:val="00D40D18"/>
    <w:rsid w:val="00D40E6E"/>
    <w:rsid w:val="00D4239B"/>
    <w:rsid w:val="00D43384"/>
    <w:rsid w:val="00D43AEA"/>
    <w:rsid w:val="00D4439A"/>
    <w:rsid w:val="00D459D6"/>
    <w:rsid w:val="00D465C6"/>
    <w:rsid w:val="00D46A46"/>
    <w:rsid w:val="00D47B30"/>
    <w:rsid w:val="00D53518"/>
    <w:rsid w:val="00D54F19"/>
    <w:rsid w:val="00D56184"/>
    <w:rsid w:val="00D5746F"/>
    <w:rsid w:val="00D57F11"/>
    <w:rsid w:val="00D605EB"/>
    <w:rsid w:val="00D617CA"/>
    <w:rsid w:val="00D6240F"/>
    <w:rsid w:val="00D62A61"/>
    <w:rsid w:val="00D65060"/>
    <w:rsid w:val="00D6560E"/>
    <w:rsid w:val="00D6692E"/>
    <w:rsid w:val="00D72926"/>
    <w:rsid w:val="00D73D65"/>
    <w:rsid w:val="00D74F4E"/>
    <w:rsid w:val="00D815A2"/>
    <w:rsid w:val="00D83C28"/>
    <w:rsid w:val="00D84F74"/>
    <w:rsid w:val="00D8526A"/>
    <w:rsid w:val="00D85833"/>
    <w:rsid w:val="00D8675E"/>
    <w:rsid w:val="00D9467D"/>
    <w:rsid w:val="00D96AA3"/>
    <w:rsid w:val="00DA0D5B"/>
    <w:rsid w:val="00DA1B33"/>
    <w:rsid w:val="00DA57A2"/>
    <w:rsid w:val="00DA5E1E"/>
    <w:rsid w:val="00DA6F3E"/>
    <w:rsid w:val="00DB046D"/>
    <w:rsid w:val="00DB1875"/>
    <w:rsid w:val="00DB4696"/>
    <w:rsid w:val="00DB65B0"/>
    <w:rsid w:val="00DC0A1F"/>
    <w:rsid w:val="00DC5D2D"/>
    <w:rsid w:val="00DD161D"/>
    <w:rsid w:val="00DD2CBA"/>
    <w:rsid w:val="00DD6CA2"/>
    <w:rsid w:val="00DD7831"/>
    <w:rsid w:val="00DD7FC4"/>
    <w:rsid w:val="00DE01CA"/>
    <w:rsid w:val="00DE2422"/>
    <w:rsid w:val="00DE3051"/>
    <w:rsid w:val="00DE408E"/>
    <w:rsid w:val="00DE566E"/>
    <w:rsid w:val="00DE5E4C"/>
    <w:rsid w:val="00DE643F"/>
    <w:rsid w:val="00DE7D7C"/>
    <w:rsid w:val="00DF154A"/>
    <w:rsid w:val="00DF180C"/>
    <w:rsid w:val="00DF306A"/>
    <w:rsid w:val="00DF476D"/>
    <w:rsid w:val="00DF5662"/>
    <w:rsid w:val="00DF7363"/>
    <w:rsid w:val="00E00AE5"/>
    <w:rsid w:val="00E01CE3"/>
    <w:rsid w:val="00E03121"/>
    <w:rsid w:val="00E04898"/>
    <w:rsid w:val="00E050E6"/>
    <w:rsid w:val="00E06274"/>
    <w:rsid w:val="00E06827"/>
    <w:rsid w:val="00E0748A"/>
    <w:rsid w:val="00E110B6"/>
    <w:rsid w:val="00E11987"/>
    <w:rsid w:val="00E13ACD"/>
    <w:rsid w:val="00E13FFB"/>
    <w:rsid w:val="00E15572"/>
    <w:rsid w:val="00E165AE"/>
    <w:rsid w:val="00E16B8F"/>
    <w:rsid w:val="00E20D81"/>
    <w:rsid w:val="00E2242C"/>
    <w:rsid w:val="00E227EC"/>
    <w:rsid w:val="00E2406B"/>
    <w:rsid w:val="00E25F64"/>
    <w:rsid w:val="00E308C4"/>
    <w:rsid w:val="00E31426"/>
    <w:rsid w:val="00E320DC"/>
    <w:rsid w:val="00E3366F"/>
    <w:rsid w:val="00E35373"/>
    <w:rsid w:val="00E426BC"/>
    <w:rsid w:val="00E42BD2"/>
    <w:rsid w:val="00E449A2"/>
    <w:rsid w:val="00E4622C"/>
    <w:rsid w:val="00E463DA"/>
    <w:rsid w:val="00E47072"/>
    <w:rsid w:val="00E51FFB"/>
    <w:rsid w:val="00E532CF"/>
    <w:rsid w:val="00E536E8"/>
    <w:rsid w:val="00E551F7"/>
    <w:rsid w:val="00E573C0"/>
    <w:rsid w:val="00E57666"/>
    <w:rsid w:val="00E57C04"/>
    <w:rsid w:val="00E604D5"/>
    <w:rsid w:val="00E611D2"/>
    <w:rsid w:val="00E616F8"/>
    <w:rsid w:val="00E62BE3"/>
    <w:rsid w:val="00E63036"/>
    <w:rsid w:val="00E644A3"/>
    <w:rsid w:val="00E64B5D"/>
    <w:rsid w:val="00E64BF1"/>
    <w:rsid w:val="00E6556E"/>
    <w:rsid w:val="00E6785E"/>
    <w:rsid w:val="00E679E5"/>
    <w:rsid w:val="00E70520"/>
    <w:rsid w:val="00E70DF5"/>
    <w:rsid w:val="00E71488"/>
    <w:rsid w:val="00E71EDC"/>
    <w:rsid w:val="00E72F21"/>
    <w:rsid w:val="00E73CE5"/>
    <w:rsid w:val="00E73E3B"/>
    <w:rsid w:val="00E759E3"/>
    <w:rsid w:val="00E77A31"/>
    <w:rsid w:val="00E77C26"/>
    <w:rsid w:val="00E8073D"/>
    <w:rsid w:val="00E81771"/>
    <w:rsid w:val="00E847F3"/>
    <w:rsid w:val="00E87CD1"/>
    <w:rsid w:val="00E90F08"/>
    <w:rsid w:val="00E96F24"/>
    <w:rsid w:val="00EA1E01"/>
    <w:rsid w:val="00EA4786"/>
    <w:rsid w:val="00EA6196"/>
    <w:rsid w:val="00EA6874"/>
    <w:rsid w:val="00EA7168"/>
    <w:rsid w:val="00EB1674"/>
    <w:rsid w:val="00EB4D26"/>
    <w:rsid w:val="00EB540E"/>
    <w:rsid w:val="00EB6110"/>
    <w:rsid w:val="00EC4169"/>
    <w:rsid w:val="00EC5DC0"/>
    <w:rsid w:val="00EC649D"/>
    <w:rsid w:val="00EC74E7"/>
    <w:rsid w:val="00EC7697"/>
    <w:rsid w:val="00ED0855"/>
    <w:rsid w:val="00ED12AB"/>
    <w:rsid w:val="00ED1870"/>
    <w:rsid w:val="00ED1FA4"/>
    <w:rsid w:val="00ED4205"/>
    <w:rsid w:val="00ED4E8E"/>
    <w:rsid w:val="00ED6284"/>
    <w:rsid w:val="00ED7225"/>
    <w:rsid w:val="00EE498C"/>
    <w:rsid w:val="00EE620D"/>
    <w:rsid w:val="00EE70CD"/>
    <w:rsid w:val="00EF04C1"/>
    <w:rsid w:val="00EF12A4"/>
    <w:rsid w:val="00EF21FC"/>
    <w:rsid w:val="00EF273C"/>
    <w:rsid w:val="00EF4204"/>
    <w:rsid w:val="00EF5DFB"/>
    <w:rsid w:val="00EF66F0"/>
    <w:rsid w:val="00F02587"/>
    <w:rsid w:val="00F04192"/>
    <w:rsid w:val="00F04496"/>
    <w:rsid w:val="00F04BCC"/>
    <w:rsid w:val="00F107BA"/>
    <w:rsid w:val="00F12B2F"/>
    <w:rsid w:val="00F133E3"/>
    <w:rsid w:val="00F13C84"/>
    <w:rsid w:val="00F140F5"/>
    <w:rsid w:val="00F14621"/>
    <w:rsid w:val="00F16F65"/>
    <w:rsid w:val="00F21BD2"/>
    <w:rsid w:val="00F230EB"/>
    <w:rsid w:val="00F25AB0"/>
    <w:rsid w:val="00F268BA"/>
    <w:rsid w:val="00F26A9F"/>
    <w:rsid w:val="00F34C74"/>
    <w:rsid w:val="00F40C75"/>
    <w:rsid w:val="00F45E60"/>
    <w:rsid w:val="00F468A5"/>
    <w:rsid w:val="00F538CC"/>
    <w:rsid w:val="00F57A15"/>
    <w:rsid w:val="00F604DE"/>
    <w:rsid w:val="00F6762E"/>
    <w:rsid w:val="00F713C3"/>
    <w:rsid w:val="00F71CF1"/>
    <w:rsid w:val="00F76D7D"/>
    <w:rsid w:val="00F815B0"/>
    <w:rsid w:val="00F84571"/>
    <w:rsid w:val="00F85470"/>
    <w:rsid w:val="00F85D3B"/>
    <w:rsid w:val="00F8679D"/>
    <w:rsid w:val="00F87F4F"/>
    <w:rsid w:val="00F91284"/>
    <w:rsid w:val="00F93D45"/>
    <w:rsid w:val="00F95D45"/>
    <w:rsid w:val="00F95FB3"/>
    <w:rsid w:val="00F979CE"/>
    <w:rsid w:val="00FA18CA"/>
    <w:rsid w:val="00FA1B68"/>
    <w:rsid w:val="00FA450C"/>
    <w:rsid w:val="00FA5EED"/>
    <w:rsid w:val="00FA6931"/>
    <w:rsid w:val="00FA6D35"/>
    <w:rsid w:val="00FB27B0"/>
    <w:rsid w:val="00FB4B52"/>
    <w:rsid w:val="00FB540A"/>
    <w:rsid w:val="00FB592F"/>
    <w:rsid w:val="00FB5AFE"/>
    <w:rsid w:val="00FB5D7B"/>
    <w:rsid w:val="00FB5DAC"/>
    <w:rsid w:val="00FB6AFA"/>
    <w:rsid w:val="00FB781E"/>
    <w:rsid w:val="00FC2AD8"/>
    <w:rsid w:val="00FC4118"/>
    <w:rsid w:val="00FC752A"/>
    <w:rsid w:val="00FD075E"/>
    <w:rsid w:val="00FD2DE9"/>
    <w:rsid w:val="00FD41D0"/>
    <w:rsid w:val="00FD4AF0"/>
    <w:rsid w:val="00FD507D"/>
    <w:rsid w:val="00FD71A0"/>
    <w:rsid w:val="00FD7F66"/>
    <w:rsid w:val="00FE2418"/>
    <w:rsid w:val="00FE5F35"/>
    <w:rsid w:val="00FF19CB"/>
    <w:rsid w:val="00FF2F1C"/>
    <w:rsid w:val="00FF4A3D"/>
    <w:rsid w:val="00FF5831"/>
    <w:rsid w:val="00FF6308"/>
    <w:rsid w:val="0ED026B8"/>
    <w:rsid w:val="15E11E65"/>
    <w:rsid w:val="27DAF303"/>
    <w:rsid w:val="2B041939"/>
    <w:rsid w:val="2E5F1698"/>
    <w:rsid w:val="37F15970"/>
    <w:rsid w:val="3803B258"/>
    <w:rsid w:val="3A8A5374"/>
    <w:rsid w:val="46ACAC10"/>
    <w:rsid w:val="69FE056E"/>
    <w:rsid w:val="7187426D"/>
    <w:rsid w:val="72B1212B"/>
    <w:rsid w:val="74345DD9"/>
    <w:rsid w:val="7793E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962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1C2"/>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1354A9"/>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1354A9"/>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94366C"/>
    <w:pPr>
      <w:spacing w:after="240" w:line="360" w:lineRule="auto"/>
    </w:pPr>
    <w:rPr>
      <w:rFonts w:ascii="Arial" w:hAnsi="Arial"/>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level3text">
    <w:name w:val="Numbered level 3 text"/>
    <w:basedOn w:val="Normal"/>
    <w:rsid w:val="00FA450C"/>
    <w:pPr>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ormal"/>
    <w:link w:val="Numberedlevel2textChar"/>
    <w:rsid w:val="00FA450C"/>
    <w:pPr>
      <w:numPr>
        <w:ilvl w:val="1"/>
        <w:numId w:val="7"/>
      </w:numPr>
      <w:spacing w:after="240" w:line="360" w:lineRule="auto"/>
      <w:outlineLvl w:val="1"/>
    </w:pPr>
    <w:rPr>
      <w:rFonts w:ascii="Arial" w:hAnsi="Arial" w:cs="Arial"/>
      <w:bCs/>
      <w:iCs/>
      <w:szCs w:val="28"/>
    </w:rPr>
  </w:style>
  <w:style w:type="paragraph" w:customStyle="1" w:styleId="Bulletleft1last">
    <w:name w:val="Bullet left 1 last"/>
    <w:basedOn w:val="NICEnormal"/>
    <w:rsid w:val="00953ADF"/>
    <w:pPr>
      <w:numPr>
        <w:numId w:val="8"/>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BD0372"/>
    <w:pPr>
      <w:keepNext/>
      <w:spacing w:after="60"/>
    </w:pPr>
    <w:rPr>
      <w:sz w:val="22"/>
    </w:rPr>
  </w:style>
  <w:style w:type="character" w:customStyle="1" w:styleId="Heading2Char">
    <w:name w:val="Heading 2 Char"/>
    <w:link w:val="Heading2"/>
    <w:rsid w:val="001354A9"/>
    <w:rPr>
      <w:rFonts w:ascii="Arial" w:hAnsi="Arial" w:cs="Arial"/>
      <w:b/>
      <w:bCs/>
      <w:sz w:val="28"/>
      <w:szCs w:val="28"/>
      <w:lang w:eastAsia="en-US"/>
    </w:rPr>
  </w:style>
  <w:style w:type="table" w:styleId="TableGrid">
    <w:name w:val="Table Grid"/>
    <w:basedOn w:val="TableNormal"/>
    <w:locked/>
    <w:rsid w:val="009F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20DCC"/>
    <w:rPr>
      <w:color w:val="0000FF"/>
      <w:u w:val="single"/>
    </w:rPr>
  </w:style>
  <w:style w:type="paragraph" w:styleId="TOC1">
    <w:name w:val="toc 1"/>
    <w:basedOn w:val="Normal"/>
    <w:next w:val="Normal"/>
    <w:autoRedefine/>
    <w:uiPriority w:val="39"/>
    <w:rsid w:val="00820DCC"/>
    <w:pPr>
      <w:spacing w:line="360" w:lineRule="auto"/>
    </w:pPr>
    <w:rPr>
      <w:rFonts w:ascii="Arial" w:hAnsi="Arial"/>
    </w:rPr>
  </w:style>
  <w:style w:type="paragraph" w:styleId="TOC2">
    <w:name w:val="toc 2"/>
    <w:basedOn w:val="Normal"/>
    <w:next w:val="Normal"/>
    <w:autoRedefine/>
    <w:uiPriority w:val="39"/>
    <w:rsid w:val="00820DCC"/>
    <w:pPr>
      <w:spacing w:line="360" w:lineRule="auto"/>
      <w:ind w:left="567"/>
    </w:pPr>
    <w:rPr>
      <w:rFonts w:ascii="Arial" w:hAnsi="Arial"/>
      <w:i/>
    </w:rPr>
  </w:style>
  <w:style w:type="character" w:styleId="CommentReference">
    <w:name w:val="annotation reference"/>
    <w:locked/>
    <w:rsid w:val="00DA5E1E"/>
    <w:rPr>
      <w:sz w:val="16"/>
      <w:szCs w:val="16"/>
    </w:rPr>
  </w:style>
  <w:style w:type="paragraph" w:styleId="CommentText">
    <w:name w:val="annotation text"/>
    <w:basedOn w:val="Normal"/>
    <w:link w:val="CommentTextChar"/>
    <w:rsid w:val="00DA5E1E"/>
    <w:rPr>
      <w:sz w:val="20"/>
      <w:szCs w:val="20"/>
    </w:rPr>
  </w:style>
  <w:style w:type="paragraph" w:styleId="CommentSubject">
    <w:name w:val="annotation subject"/>
    <w:basedOn w:val="CommentText"/>
    <w:next w:val="CommentText"/>
    <w:semiHidden/>
    <w:locked/>
    <w:rsid w:val="00DA5E1E"/>
    <w:rPr>
      <w:b/>
      <w:bCs/>
    </w:rPr>
  </w:style>
  <w:style w:type="paragraph" w:styleId="BalloonText">
    <w:name w:val="Balloon Text"/>
    <w:basedOn w:val="Normal"/>
    <w:semiHidden/>
    <w:rsid w:val="00DA5E1E"/>
    <w:rPr>
      <w:rFonts w:ascii="Tahoma" w:hAnsi="Tahoma" w:cs="Tahoma"/>
      <w:sz w:val="16"/>
      <w:szCs w:val="16"/>
    </w:rPr>
  </w:style>
  <w:style w:type="paragraph" w:customStyle="1" w:styleId="Frontpagetitle">
    <w:name w:val="Front page title"/>
    <w:basedOn w:val="NICEnormalsinglespacing"/>
    <w:rsid w:val="00EF04C1"/>
    <w:pPr>
      <w:jc w:val="center"/>
    </w:pPr>
    <w:rPr>
      <w:rFonts w:cs="Arial"/>
      <w:sz w:val="48"/>
      <w:szCs w:val="48"/>
    </w:rPr>
  </w:style>
  <w:style w:type="paragraph" w:customStyle="1" w:styleId="Frontpagedate">
    <w:name w:val="Front page date"/>
    <w:basedOn w:val="NICEnormalsinglespacing"/>
    <w:rsid w:val="00EF04C1"/>
    <w:rPr>
      <w:rFonts w:cs="Arial"/>
      <w:sz w:val="32"/>
      <w:szCs w:val="32"/>
    </w:rPr>
  </w:style>
  <w:style w:type="paragraph" w:customStyle="1" w:styleId="Frontpageguidelinenumber">
    <w:name w:val="Front page guideline number"/>
    <w:basedOn w:val="NICEnormalsinglespacing"/>
    <w:rsid w:val="00EF04C1"/>
    <w:rPr>
      <w:rFonts w:cs="Arial"/>
      <w:color w:val="FFFFFF"/>
      <w:sz w:val="32"/>
      <w:szCs w:val="32"/>
    </w:rPr>
  </w:style>
  <w:style w:type="character" w:customStyle="1" w:styleId="NICEnormalChar">
    <w:name w:val="NICE normal Char"/>
    <w:link w:val="NICEnormal"/>
    <w:rsid w:val="0021227E"/>
    <w:rPr>
      <w:rFonts w:ascii="Arial" w:hAnsi="Arial"/>
      <w:sz w:val="24"/>
      <w:szCs w:val="24"/>
      <w:lang w:val="en-US" w:eastAsia="en-US" w:bidi="ar-SA"/>
    </w:rPr>
  </w:style>
  <w:style w:type="paragraph" w:styleId="FootnoteText">
    <w:name w:val="footnote text"/>
    <w:basedOn w:val="Normal"/>
    <w:link w:val="FootnoteTextChar"/>
    <w:rsid w:val="0069613E"/>
    <w:rPr>
      <w:sz w:val="20"/>
      <w:szCs w:val="20"/>
    </w:rPr>
  </w:style>
  <w:style w:type="character" w:customStyle="1" w:styleId="FootnoteTextChar">
    <w:name w:val="Footnote Text Char"/>
    <w:link w:val="FootnoteText"/>
    <w:rsid w:val="0069613E"/>
    <w:rPr>
      <w:lang w:eastAsia="en-US"/>
    </w:rPr>
  </w:style>
  <w:style w:type="character" w:styleId="FootnoteReference">
    <w:name w:val="footnote reference"/>
    <w:locked/>
    <w:rsid w:val="0069613E"/>
    <w:rPr>
      <w:vertAlign w:val="superscript"/>
    </w:rPr>
  </w:style>
  <w:style w:type="character" w:styleId="FollowedHyperlink">
    <w:name w:val="FollowedHyperlink"/>
    <w:rsid w:val="006A5FCD"/>
    <w:rPr>
      <w:color w:val="800080"/>
      <w:u w:val="single"/>
    </w:rPr>
  </w:style>
  <w:style w:type="character" w:customStyle="1" w:styleId="Numberedlevel2textChar">
    <w:name w:val="Numbered level 2 text Char"/>
    <w:link w:val="Numberedlevel2text"/>
    <w:rsid w:val="009621C2"/>
    <w:rPr>
      <w:rFonts w:ascii="Arial" w:hAnsi="Arial" w:cs="Arial"/>
      <w:bCs/>
      <w:iCs/>
      <w:sz w:val="24"/>
      <w:szCs w:val="28"/>
      <w:lang w:eastAsia="en-US"/>
    </w:rPr>
  </w:style>
  <w:style w:type="character" w:customStyle="1" w:styleId="CommentTextChar">
    <w:name w:val="Comment Text Char"/>
    <w:link w:val="CommentText"/>
    <w:rsid w:val="009621C2"/>
    <w:rPr>
      <w:lang w:eastAsia="en-US"/>
    </w:rPr>
  </w:style>
  <w:style w:type="table" w:customStyle="1" w:styleId="TableGrid1">
    <w:name w:val="Table Grid1"/>
    <w:basedOn w:val="TableNormal"/>
    <w:next w:val="TableGrid"/>
    <w:rsid w:val="00155DB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11E7"/>
    <w:rPr>
      <w:sz w:val="24"/>
      <w:szCs w:val="24"/>
      <w:lang w:eastAsia="en-US"/>
    </w:rPr>
  </w:style>
  <w:style w:type="paragraph" w:customStyle="1" w:styleId="Tabletitle">
    <w:name w:val="Table title"/>
    <w:basedOn w:val="NICEnormal"/>
    <w:next w:val="NICEnormal"/>
    <w:rsid w:val="00885AEC"/>
    <w:pPr>
      <w:keepNext/>
      <w:spacing w:after="60" w:line="240" w:lineRule="auto"/>
    </w:pPr>
    <w:rPr>
      <w:b/>
    </w:rPr>
  </w:style>
  <w:style w:type="paragraph" w:customStyle="1" w:styleId="Proofingtabletext">
    <w:name w:val="Proofing table text"/>
    <w:basedOn w:val="Normal"/>
    <w:rsid w:val="00885AEC"/>
    <w:pPr>
      <w:framePr w:hSpace="180" w:wrap="around" w:vAnchor="text" w:hAnchor="margin" w:y="-52"/>
      <w:spacing w:before="60" w:after="60" w:line="288" w:lineRule="auto"/>
    </w:pPr>
    <w:rPr>
      <w:rFonts w:ascii="Arial" w:hAnsi="Arial"/>
      <w:sz w:val="18"/>
      <w:szCs w:val="20"/>
      <w:lang w:eastAsia="en-GB"/>
    </w:rPr>
  </w:style>
  <w:style w:type="paragraph" w:customStyle="1" w:styleId="Instructionstext">
    <w:name w:val="Instructions text"/>
    <w:basedOn w:val="Normal"/>
    <w:rsid w:val="00885AEC"/>
    <w:pPr>
      <w:pBdr>
        <w:top w:val="single" w:sz="4" w:space="1" w:color="auto"/>
        <w:left w:val="single" w:sz="4" w:space="4" w:color="auto"/>
        <w:bottom w:val="single" w:sz="4" w:space="1" w:color="auto"/>
        <w:right w:val="single" w:sz="4" w:space="4" w:color="auto"/>
      </w:pBdr>
      <w:shd w:val="clear" w:color="auto" w:fill="FDE9D9"/>
      <w:spacing w:before="240" w:after="240" w:line="288" w:lineRule="auto"/>
    </w:pPr>
    <w:rPr>
      <w:rFonts w:ascii="Arial" w:hAnsi="Arial"/>
      <w:kern w:val="32"/>
      <w:sz w:val="20"/>
      <w:szCs w:val="20"/>
    </w:rPr>
  </w:style>
  <w:style w:type="paragraph" w:customStyle="1" w:styleId="Instructionsheading">
    <w:name w:val="Instructions heading"/>
    <w:basedOn w:val="Normal"/>
    <w:rsid w:val="00885AEC"/>
    <w:pPr>
      <w:pBdr>
        <w:top w:val="single" w:sz="4" w:space="1" w:color="auto"/>
        <w:left w:val="single" w:sz="4" w:space="4" w:color="auto"/>
        <w:bottom w:val="single" w:sz="4" w:space="1" w:color="auto"/>
        <w:right w:val="single" w:sz="4" w:space="4" w:color="auto"/>
      </w:pBdr>
      <w:shd w:val="clear" w:color="auto" w:fill="FDE9D9"/>
      <w:spacing w:before="240" w:after="120" w:line="288" w:lineRule="auto"/>
      <w:outlineLvl w:val="1"/>
    </w:pPr>
    <w:rPr>
      <w:rFonts w:ascii="Arial" w:hAnsi="Arial"/>
      <w:i/>
      <w:iCs/>
      <w:color w:val="0070C0"/>
      <w:kern w:val="32"/>
      <w:szCs w:val="20"/>
    </w:rPr>
  </w:style>
  <w:style w:type="character" w:styleId="UnresolvedMention">
    <w:name w:val="Unresolved Mention"/>
    <w:basedOn w:val="DefaultParagraphFont"/>
    <w:uiPriority w:val="99"/>
    <w:semiHidden/>
    <w:unhideWhenUsed/>
    <w:rsid w:val="00965418"/>
    <w:rPr>
      <w:color w:val="605E5C"/>
      <w:shd w:val="clear" w:color="auto" w:fill="E1DFDD"/>
    </w:rPr>
  </w:style>
  <w:style w:type="paragraph" w:styleId="ListParagraph">
    <w:name w:val="List Paragraph"/>
    <w:basedOn w:val="Normal"/>
    <w:uiPriority w:val="34"/>
    <w:qFormat/>
    <w:rsid w:val="009403B5"/>
    <w:pPr>
      <w:ind w:left="720"/>
      <w:contextualSpacing/>
    </w:pPr>
  </w:style>
  <w:style w:type="table" w:styleId="TableGridLight">
    <w:name w:val="Grid Table Light"/>
    <w:basedOn w:val="TableNormal"/>
    <w:uiPriority w:val="40"/>
    <w:rsid w:val="00F16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ICEnormal"/>
    <w:next w:val="NICEnormal"/>
    <w:unhideWhenUsed/>
    <w:qFormat/>
    <w:rsid w:val="001354A9"/>
    <w:pPr>
      <w:keepNext/>
      <w:spacing w:after="200"/>
    </w:pPr>
    <w:rPr>
      <w:b/>
      <w:iCs/>
      <w:szCs w:val="18"/>
      <w:lang w:val="en-GB"/>
    </w:rPr>
  </w:style>
  <w:style w:type="paragraph" w:customStyle="1" w:styleId="Tableheading">
    <w:name w:val="Table heading"/>
    <w:basedOn w:val="Tabletext"/>
    <w:qFormat/>
    <w:rsid w:val="00957EB9"/>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1011">
      <w:bodyDiv w:val="1"/>
      <w:marLeft w:val="0"/>
      <w:marRight w:val="0"/>
      <w:marTop w:val="0"/>
      <w:marBottom w:val="0"/>
      <w:divBdr>
        <w:top w:val="none" w:sz="0" w:space="0" w:color="auto"/>
        <w:left w:val="none" w:sz="0" w:space="0" w:color="auto"/>
        <w:bottom w:val="none" w:sz="0" w:space="0" w:color="auto"/>
        <w:right w:val="none" w:sz="0" w:space="0" w:color="auto"/>
      </w:divBdr>
    </w:div>
    <w:div w:id="392656195">
      <w:bodyDiv w:val="1"/>
      <w:marLeft w:val="0"/>
      <w:marRight w:val="0"/>
      <w:marTop w:val="0"/>
      <w:marBottom w:val="0"/>
      <w:divBdr>
        <w:top w:val="none" w:sz="0" w:space="0" w:color="auto"/>
        <w:left w:val="none" w:sz="0" w:space="0" w:color="auto"/>
        <w:bottom w:val="none" w:sz="0" w:space="0" w:color="auto"/>
        <w:right w:val="none" w:sz="0" w:space="0" w:color="auto"/>
      </w:divBdr>
    </w:div>
    <w:div w:id="455681908">
      <w:bodyDiv w:val="1"/>
      <w:marLeft w:val="0"/>
      <w:marRight w:val="0"/>
      <w:marTop w:val="0"/>
      <w:marBottom w:val="0"/>
      <w:divBdr>
        <w:top w:val="none" w:sz="0" w:space="0" w:color="auto"/>
        <w:left w:val="none" w:sz="0" w:space="0" w:color="auto"/>
        <w:bottom w:val="none" w:sz="0" w:space="0" w:color="auto"/>
        <w:right w:val="none" w:sz="0" w:space="0" w:color="auto"/>
      </w:divBdr>
    </w:div>
    <w:div w:id="494078288">
      <w:bodyDiv w:val="1"/>
      <w:marLeft w:val="0"/>
      <w:marRight w:val="0"/>
      <w:marTop w:val="0"/>
      <w:marBottom w:val="0"/>
      <w:divBdr>
        <w:top w:val="none" w:sz="0" w:space="0" w:color="auto"/>
        <w:left w:val="none" w:sz="0" w:space="0" w:color="auto"/>
        <w:bottom w:val="none" w:sz="0" w:space="0" w:color="auto"/>
        <w:right w:val="none" w:sz="0" w:space="0" w:color="auto"/>
      </w:divBdr>
    </w:div>
    <w:div w:id="594754002">
      <w:bodyDiv w:val="1"/>
      <w:marLeft w:val="0"/>
      <w:marRight w:val="0"/>
      <w:marTop w:val="0"/>
      <w:marBottom w:val="0"/>
      <w:divBdr>
        <w:top w:val="none" w:sz="0" w:space="0" w:color="auto"/>
        <w:left w:val="none" w:sz="0" w:space="0" w:color="auto"/>
        <w:bottom w:val="none" w:sz="0" w:space="0" w:color="auto"/>
        <w:right w:val="none" w:sz="0" w:space="0" w:color="auto"/>
      </w:divBdr>
    </w:div>
    <w:div w:id="704716663">
      <w:bodyDiv w:val="1"/>
      <w:marLeft w:val="0"/>
      <w:marRight w:val="0"/>
      <w:marTop w:val="0"/>
      <w:marBottom w:val="0"/>
      <w:divBdr>
        <w:top w:val="none" w:sz="0" w:space="0" w:color="auto"/>
        <w:left w:val="none" w:sz="0" w:space="0" w:color="auto"/>
        <w:bottom w:val="none" w:sz="0" w:space="0" w:color="auto"/>
        <w:right w:val="none" w:sz="0" w:space="0" w:color="auto"/>
      </w:divBdr>
    </w:div>
    <w:div w:id="798258205">
      <w:bodyDiv w:val="1"/>
      <w:marLeft w:val="0"/>
      <w:marRight w:val="0"/>
      <w:marTop w:val="0"/>
      <w:marBottom w:val="0"/>
      <w:divBdr>
        <w:top w:val="none" w:sz="0" w:space="0" w:color="auto"/>
        <w:left w:val="none" w:sz="0" w:space="0" w:color="auto"/>
        <w:bottom w:val="none" w:sz="0" w:space="0" w:color="auto"/>
        <w:right w:val="none" w:sz="0" w:space="0" w:color="auto"/>
      </w:divBdr>
    </w:div>
    <w:div w:id="834995268">
      <w:bodyDiv w:val="1"/>
      <w:marLeft w:val="0"/>
      <w:marRight w:val="0"/>
      <w:marTop w:val="0"/>
      <w:marBottom w:val="0"/>
      <w:divBdr>
        <w:top w:val="none" w:sz="0" w:space="0" w:color="auto"/>
        <w:left w:val="none" w:sz="0" w:space="0" w:color="auto"/>
        <w:bottom w:val="none" w:sz="0" w:space="0" w:color="auto"/>
        <w:right w:val="none" w:sz="0" w:space="0" w:color="auto"/>
      </w:divBdr>
    </w:div>
    <w:div w:id="1172917377">
      <w:bodyDiv w:val="1"/>
      <w:marLeft w:val="0"/>
      <w:marRight w:val="0"/>
      <w:marTop w:val="0"/>
      <w:marBottom w:val="0"/>
      <w:divBdr>
        <w:top w:val="none" w:sz="0" w:space="0" w:color="auto"/>
        <w:left w:val="none" w:sz="0" w:space="0" w:color="auto"/>
        <w:bottom w:val="none" w:sz="0" w:space="0" w:color="auto"/>
        <w:right w:val="none" w:sz="0" w:space="0" w:color="auto"/>
      </w:divBdr>
    </w:div>
    <w:div w:id="1207986846">
      <w:bodyDiv w:val="1"/>
      <w:marLeft w:val="0"/>
      <w:marRight w:val="0"/>
      <w:marTop w:val="0"/>
      <w:marBottom w:val="0"/>
      <w:divBdr>
        <w:top w:val="none" w:sz="0" w:space="0" w:color="auto"/>
        <w:left w:val="none" w:sz="0" w:space="0" w:color="auto"/>
        <w:bottom w:val="none" w:sz="0" w:space="0" w:color="auto"/>
        <w:right w:val="none" w:sz="0" w:space="0" w:color="auto"/>
      </w:divBdr>
    </w:div>
    <w:div w:id="1336301149">
      <w:bodyDiv w:val="1"/>
      <w:marLeft w:val="0"/>
      <w:marRight w:val="0"/>
      <w:marTop w:val="0"/>
      <w:marBottom w:val="0"/>
      <w:divBdr>
        <w:top w:val="none" w:sz="0" w:space="0" w:color="auto"/>
        <w:left w:val="none" w:sz="0" w:space="0" w:color="auto"/>
        <w:bottom w:val="none" w:sz="0" w:space="0" w:color="auto"/>
        <w:right w:val="none" w:sz="0" w:space="0" w:color="auto"/>
      </w:divBdr>
    </w:div>
    <w:div w:id="1387221591">
      <w:bodyDiv w:val="1"/>
      <w:marLeft w:val="0"/>
      <w:marRight w:val="0"/>
      <w:marTop w:val="0"/>
      <w:marBottom w:val="0"/>
      <w:divBdr>
        <w:top w:val="none" w:sz="0" w:space="0" w:color="auto"/>
        <w:left w:val="none" w:sz="0" w:space="0" w:color="auto"/>
        <w:bottom w:val="none" w:sz="0" w:space="0" w:color="auto"/>
        <w:right w:val="none" w:sz="0" w:space="0" w:color="auto"/>
      </w:divBdr>
    </w:div>
    <w:div w:id="1774789705">
      <w:bodyDiv w:val="1"/>
      <w:marLeft w:val="0"/>
      <w:marRight w:val="0"/>
      <w:marTop w:val="0"/>
      <w:marBottom w:val="0"/>
      <w:divBdr>
        <w:top w:val="none" w:sz="0" w:space="0" w:color="auto"/>
        <w:left w:val="none" w:sz="0" w:space="0" w:color="auto"/>
        <w:bottom w:val="none" w:sz="0" w:space="0" w:color="auto"/>
        <w:right w:val="none" w:sz="0" w:space="0" w:color="auto"/>
      </w:divBdr>
    </w:div>
    <w:div w:id="1855919015">
      <w:bodyDiv w:val="1"/>
      <w:marLeft w:val="0"/>
      <w:marRight w:val="0"/>
      <w:marTop w:val="0"/>
      <w:marBottom w:val="0"/>
      <w:divBdr>
        <w:top w:val="none" w:sz="0" w:space="0" w:color="auto"/>
        <w:left w:val="none" w:sz="0" w:space="0" w:color="auto"/>
        <w:bottom w:val="none" w:sz="0" w:space="0" w:color="auto"/>
        <w:right w:val="none" w:sz="0" w:space="0" w:color="auto"/>
      </w:divBdr>
    </w:div>
    <w:div w:id="2041004496">
      <w:bodyDiv w:val="1"/>
      <w:marLeft w:val="0"/>
      <w:marRight w:val="0"/>
      <w:marTop w:val="0"/>
      <w:marBottom w:val="0"/>
      <w:divBdr>
        <w:top w:val="none" w:sz="0" w:space="0" w:color="auto"/>
        <w:left w:val="none" w:sz="0" w:space="0" w:color="auto"/>
        <w:bottom w:val="none" w:sz="0" w:space="0" w:color="auto"/>
        <w:right w:val="none" w:sz="0" w:space="0" w:color="auto"/>
      </w:divBdr>
    </w:div>
    <w:div w:id="208224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ta9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2023-25-nhs-payment-sche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al.nhs.uk/data-and-information/publications/statistical/cancer-registration-statistics/england-2019/content" TargetMode="External"/><Relationship Id="rId4" Type="http://schemas.openxmlformats.org/officeDocument/2006/relationships/settings" Target="settings.xml"/><Relationship Id="rId9" Type="http://schemas.openxmlformats.org/officeDocument/2006/relationships/hyperlink" Target="https://digital.nhs.uk/data-and-information/publications/statistical/cancer-registration-statistics/england-2019/content" TargetMode="External"/><Relationship Id="rId14"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D8E7-FF9C-4E94-B63F-DA42CFD7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TA970 Selinexor with dexamethasone for treating relapsed or refractory multiple myeloma after 4 or more treatments: Resource impact report 08/05/2024</dc:title>
  <dc:subject/>
  <dc:creator/>
  <cp:keywords/>
  <dc:description/>
  <cp:lastModifiedBy/>
  <cp:revision>1</cp:revision>
  <dcterms:created xsi:type="dcterms:W3CDTF">2024-05-03T15:05:00Z</dcterms:created>
  <dcterms:modified xsi:type="dcterms:W3CDTF">2024-05-03T15:06:00Z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2024-05-03T15:06:38Z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aad1261e-65cc-4e87-a32a-8ed2059bb91e</vt:lpwstr>
  </property>
  <property fmtid="{D5CDD505-2E9C-101B-9397-08002B2CF9AE}" pid="8" name="MSIP_Label_c69d85d5-6d9e-4305-a294-1f636ec0f2d6_ContentBits">
    <vt:lpwstr>0</vt:lpwstr>
  </property>
</Properties>
</file>