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42B7" w14:textId="3417D7B6" w:rsidR="00695137" w:rsidRPr="00695137" w:rsidRDefault="00695137" w:rsidP="00695137">
      <w:pPr>
        <w:rPr>
          <w:rFonts w:ascii="Arial" w:hAnsi="Arial" w:cs="Arial"/>
          <w:sz w:val="20"/>
          <w:szCs w:val="20"/>
        </w:rPr>
      </w:pPr>
      <w:r w:rsidRPr="00695137">
        <w:rPr>
          <w:rFonts w:ascii="Arial" w:hAnsi="Arial" w:cs="Arial"/>
          <w:sz w:val="20"/>
          <w:szCs w:val="20"/>
        </w:rPr>
        <w:t xml:space="preserve">FAO </w:t>
      </w:r>
      <w:proofErr w:type="spellStart"/>
      <w:r w:rsidR="00874899" w:rsidRPr="00874899">
        <w:rPr>
          <w:rFonts w:ascii="Arial" w:hAnsi="Arial" w:cs="Arial"/>
          <w:sz w:val="20"/>
          <w:szCs w:val="20"/>
          <w:highlight w:val="black"/>
        </w:rPr>
        <w:t>xxxxxxxx</w:t>
      </w:r>
      <w:proofErr w:type="spellEnd"/>
    </w:p>
    <w:p w14:paraId="46B13D96" w14:textId="77777777" w:rsidR="00695137" w:rsidRPr="00695137" w:rsidRDefault="00695137" w:rsidP="00695137">
      <w:pPr>
        <w:rPr>
          <w:rFonts w:ascii="Arial" w:hAnsi="Arial" w:cs="Arial"/>
          <w:sz w:val="20"/>
          <w:szCs w:val="20"/>
        </w:rPr>
      </w:pPr>
      <w:r w:rsidRPr="00695137">
        <w:rPr>
          <w:rFonts w:ascii="Arial" w:hAnsi="Arial" w:cs="Arial"/>
          <w:sz w:val="20"/>
          <w:szCs w:val="20"/>
        </w:rPr>
        <w:t>Merck Sharp &amp; Dohme (UK) Ltd</w:t>
      </w:r>
    </w:p>
    <w:p w14:paraId="799D8680" w14:textId="5EA6FBB2" w:rsidR="00F24B1D" w:rsidRPr="0043022B" w:rsidRDefault="00695137" w:rsidP="00695137">
      <w:pPr>
        <w:rPr>
          <w:rFonts w:ascii="Arial" w:hAnsi="Arial" w:cs="Arial"/>
          <w:sz w:val="20"/>
          <w:szCs w:val="20"/>
        </w:rPr>
      </w:pPr>
      <w:r w:rsidRPr="00695137">
        <w:rPr>
          <w:rFonts w:ascii="Arial" w:hAnsi="Arial" w:cs="Arial"/>
          <w:sz w:val="20"/>
          <w:szCs w:val="20"/>
        </w:rPr>
        <w:t xml:space="preserve">Sent by e-mail only: </w:t>
      </w:r>
      <w:proofErr w:type="spellStart"/>
      <w:r w:rsidR="00874899" w:rsidRPr="00874899">
        <w:rPr>
          <w:rFonts w:ascii="Arial" w:hAnsi="Arial" w:cs="Arial"/>
          <w:sz w:val="20"/>
          <w:szCs w:val="20"/>
          <w:highlight w:val="black"/>
        </w:rPr>
        <w:t>xxxxxxxxxxxxxxxx</w:t>
      </w:r>
      <w:proofErr w:type="spellEnd"/>
      <w:r>
        <w:rPr>
          <w:rFonts w:ascii="Arial" w:hAnsi="Arial" w:cs="Arial"/>
          <w:sz w:val="20"/>
          <w:szCs w:val="20"/>
        </w:rPr>
        <w:t xml:space="preserve"> </w:t>
      </w:r>
    </w:p>
    <w:p w14:paraId="1F256B99" w14:textId="77777777" w:rsidR="00F24B1D" w:rsidRPr="0043022B" w:rsidRDefault="00F24B1D">
      <w:pPr>
        <w:rPr>
          <w:rFonts w:ascii="Arial" w:hAnsi="Arial" w:cs="Arial"/>
          <w:sz w:val="20"/>
          <w:szCs w:val="20"/>
        </w:rPr>
      </w:pPr>
    </w:p>
    <w:p w14:paraId="04E6623B" w14:textId="584EEA10" w:rsidR="00B737D4" w:rsidRPr="0043022B" w:rsidRDefault="001046B9" w:rsidP="00B737D4">
      <w:pPr>
        <w:rPr>
          <w:rFonts w:ascii="Arial" w:hAnsi="Arial" w:cs="Arial"/>
          <w:sz w:val="20"/>
          <w:szCs w:val="20"/>
        </w:rPr>
      </w:pPr>
      <w:r>
        <w:rPr>
          <w:rFonts w:ascii="Arial" w:hAnsi="Arial" w:cs="Arial"/>
          <w:sz w:val="20"/>
          <w:szCs w:val="20"/>
        </w:rPr>
        <w:t>4 April 2023</w:t>
      </w:r>
    </w:p>
    <w:p w14:paraId="15532A62" w14:textId="77777777" w:rsidR="00B737D4" w:rsidRPr="0043022B" w:rsidRDefault="00B737D4" w:rsidP="00B737D4">
      <w:pPr>
        <w:rPr>
          <w:rStyle w:val="Hyperlink"/>
          <w:rFonts w:ascii="Arial" w:hAnsi="Arial" w:cs="Arial"/>
          <w:sz w:val="20"/>
          <w:szCs w:val="20"/>
        </w:rPr>
      </w:pPr>
    </w:p>
    <w:p w14:paraId="74F9AD7F" w14:textId="78D5AE4B" w:rsidR="00695137" w:rsidRPr="00695137" w:rsidRDefault="00695137" w:rsidP="00695137">
      <w:pPr>
        <w:spacing w:before="240" w:after="240"/>
        <w:jc w:val="both"/>
        <w:rPr>
          <w:rFonts w:ascii="Arial" w:hAnsi="Arial" w:cs="Arial"/>
          <w:sz w:val="20"/>
          <w:szCs w:val="20"/>
        </w:rPr>
      </w:pPr>
      <w:r w:rsidRPr="00695137">
        <w:rPr>
          <w:rFonts w:ascii="Arial" w:hAnsi="Arial" w:cs="Arial"/>
          <w:sz w:val="20"/>
          <w:szCs w:val="20"/>
        </w:rPr>
        <w:t xml:space="preserve">Dear </w:t>
      </w:r>
      <w:proofErr w:type="spellStart"/>
      <w:r w:rsidR="00874899" w:rsidRPr="00874899">
        <w:rPr>
          <w:rFonts w:ascii="Arial" w:hAnsi="Arial" w:cs="Arial"/>
          <w:sz w:val="20"/>
          <w:szCs w:val="20"/>
          <w:highlight w:val="black"/>
        </w:rPr>
        <w:t>xxxxxxxxxxx</w:t>
      </w:r>
      <w:proofErr w:type="spellEnd"/>
    </w:p>
    <w:p w14:paraId="640A5AEB" w14:textId="6C5A76C3" w:rsidR="00695137" w:rsidRPr="00695137" w:rsidRDefault="00695137" w:rsidP="00695137">
      <w:pPr>
        <w:spacing w:before="240" w:after="240"/>
        <w:jc w:val="both"/>
        <w:rPr>
          <w:rFonts w:ascii="Arial" w:hAnsi="Arial" w:cs="Arial"/>
          <w:b/>
          <w:bCs/>
          <w:sz w:val="20"/>
          <w:szCs w:val="20"/>
        </w:rPr>
      </w:pPr>
      <w:r w:rsidRPr="00695137">
        <w:rPr>
          <w:rFonts w:ascii="Arial" w:hAnsi="Arial" w:cs="Arial"/>
          <w:b/>
          <w:bCs/>
          <w:sz w:val="20"/>
          <w:szCs w:val="20"/>
        </w:rPr>
        <w:t>Re: Final Draft Guidance — Therapeutics for people with COVID-19 [ID 4038]</w:t>
      </w:r>
      <w:r w:rsidR="00484249">
        <w:rPr>
          <w:rFonts w:ascii="Arial" w:hAnsi="Arial" w:cs="Arial"/>
          <w:b/>
          <w:bCs/>
          <w:sz w:val="20"/>
          <w:szCs w:val="20"/>
        </w:rPr>
        <w:t xml:space="preserve"> </w:t>
      </w:r>
      <w:r w:rsidR="00582EDA" w:rsidRPr="00705A47">
        <w:rPr>
          <w:rFonts w:ascii="Arial" w:hAnsi="Arial" w:cs="Arial"/>
          <w:b/>
          <w:bCs/>
          <w:sz w:val="20"/>
          <w:szCs w:val="20"/>
        </w:rPr>
        <w:t xml:space="preserve">[now </w:t>
      </w:r>
      <w:hyperlink r:id="rId8" w:history="1">
        <w:r w:rsidR="00582EDA" w:rsidRPr="00705A47">
          <w:rPr>
            <w:rStyle w:val="Hyperlink"/>
            <w:rFonts w:ascii="Arial" w:hAnsi="Arial" w:cs="Arial"/>
            <w:b/>
            <w:bCs/>
            <w:sz w:val="20"/>
            <w:szCs w:val="20"/>
          </w:rPr>
          <w:t>ID6261</w:t>
        </w:r>
      </w:hyperlink>
      <w:r w:rsidR="00582EDA" w:rsidRPr="00705A47">
        <w:rPr>
          <w:rFonts w:ascii="Arial" w:hAnsi="Arial" w:cs="Arial"/>
          <w:b/>
          <w:bCs/>
          <w:sz w:val="20"/>
          <w:szCs w:val="20"/>
        </w:rPr>
        <w:t>]</w:t>
      </w:r>
    </w:p>
    <w:p w14:paraId="645F333C" w14:textId="1150D732" w:rsidR="00DB178D" w:rsidRPr="00DB178D" w:rsidRDefault="00DB178D" w:rsidP="00695137">
      <w:pPr>
        <w:spacing w:before="240" w:after="240"/>
        <w:jc w:val="both"/>
        <w:rPr>
          <w:rFonts w:ascii="Arial" w:eastAsia="Times New Roman" w:hAnsi="Arial" w:cs="Arial"/>
          <w:sz w:val="20"/>
          <w:szCs w:val="20"/>
        </w:rPr>
      </w:pPr>
      <w:r w:rsidRPr="00DB178D">
        <w:rPr>
          <w:rFonts w:ascii="Arial" w:eastAsia="Times New Roman" w:hAnsi="Arial" w:cs="Arial"/>
          <w:sz w:val="20"/>
          <w:szCs w:val="20"/>
        </w:rPr>
        <w:t xml:space="preserve">Thank you for your letter of </w:t>
      </w:r>
      <w:r w:rsidR="00134547">
        <w:rPr>
          <w:rFonts w:ascii="Arial" w:eastAsia="Times New Roman" w:hAnsi="Arial" w:cs="Arial"/>
          <w:sz w:val="20"/>
          <w:szCs w:val="20"/>
        </w:rPr>
        <w:t>27 March 2023</w:t>
      </w:r>
      <w:r w:rsidRPr="00DB178D">
        <w:rPr>
          <w:rFonts w:ascii="Arial" w:eastAsia="Times New Roman" w:hAnsi="Arial" w:cs="Arial"/>
          <w:sz w:val="20"/>
          <w:szCs w:val="20"/>
        </w:rPr>
        <w:t xml:space="preserve"> responding to my initial scrutiny views.  This is my final decision on initial scrutiny.</w:t>
      </w:r>
    </w:p>
    <w:p w14:paraId="55B1D5E2" w14:textId="1A2F213B" w:rsidR="00DB178D" w:rsidRPr="00DB178D" w:rsidRDefault="00DB178D" w:rsidP="00DB178D">
      <w:pPr>
        <w:spacing w:before="240" w:after="240"/>
        <w:jc w:val="both"/>
        <w:rPr>
          <w:rFonts w:ascii="Arial" w:eastAsia="Times New Roman" w:hAnsi="Arial" w:cs="Arial"/>
          <w:sz w:val="20"/>
          <w:szCs w:val="20"/>
        </w:rPr>
      </w:pPr>
      <w:r w:rsidRPr="00DB178D">
        <w:rPr>
          <w:rFonts w:ascii="Arial" w:eastAsia="Times New Roman" w:hAnsi="Arial" w:cs="Arial"/>
          <w:sz w:val="20"/>
          <w:szCs w:val="20"/>
        </w:rPr>
        <w:t xml:space="preserve">I consider the ground 1(a) points followed by the ground 1(b) </w:t>
      </w:r>
      <w:r w:rsidR="0039325B">
        <w:rPr>
          <w:rFonts w:ascii="Arial" w:eastAsia="Times New Roman" w:hAnsi="Arial" w:cs="Arial"/>
          <w:sz w:val="20"/>
          <w:szCs w:val="20"/>
        </w:rPr>
        <w:t xml:space="preserve">point </w:t>
      </w:r>
      <w:r w:rsidRPr="00DB178D">
        <w:rPr>
          <w:rFonts w:ascii="Arial" w:eastAsia="Times New Roman" w:hAnsi="Arial" w:cs="Arial"/>
          <w:sz w:val="20"/>
          <w:szCs w:val="20"/>
        </w:rPr>
        <w:t>and then the ground 2 points.</w:t>
      </w:r>
    </w:p>
    <w:p w14:paraId="154A6AA5" w14:textId="77777777" w:rsidR="00DB178D" w:rsidRDefault="00DB178D" w:rsidP="00DB178D">
      <w:pPr>
        <w:spacing w:before="240" w:after="240"/>
        <w:jc w:val="both"/>
        <w:rPr>
          <w:rFonts w:ascii="Arial" w:hAnsi="Arial" w:cs="Arial"/>
          <w:b/>
          <w:i/>
          <w:sz w:val="20"/>
          <w:szCs w:val="20"/>
        </w:rPr>
      </w:pPr>
      <w:r w:rsidRPr="00DB178D">
        <w:rPr>
          <w:rFonts w:ascii="Arial" w:eastAsia="Times New Roman" w:hAnsi="Arial" w:cs="Arial"/>
          <w:b/>
          <w:bCs/>
          <w:i/>
          <w:iCs/>
          <w:sz w:val="20"/>
          <w:szCs w:val="20"/>
        </w:rPr>
        <w:t>Ground 1(a): In making the assessment that preceded the recommendation, NICE has failed to act fairly</w:t>
      </w:r>
    </w:p>
    <w:p w14:paraId="4D2EF406" w14:textId="5E0F9F51" w:rsidR="00671EF3" w:rsidRPr="0043022B" w:rsidRDefault="00671EF3" w:rsidP="00671EF3">
      <w:pPr>
        <w:spacing w:before="240" w:after="240"/>
        <w:jc w:val="both"/>
        <w:rPr>
          <w:rFonts w:ascii="Arial" w:hAnsi="Arial" w:cs="Arial"/>
          <w:b/>
          <w:sz w:val="20"/>
          <w:szCs w:val="20"/>
          <w:u w:val="single"/>
        </w:rPr>
      </w:pPr>
      <w:r w:rsidRPr="0043022B">
        <w:rPr>
          <w:rFonts w:ascii="Arial" w:hAnsi="Arial" w:cs="Arial"/>
          <w:b/>
          <w:sz w:val="20"/>
          <w:szCs w:val="20"/>
          <w:u w:val="single"/>
        </w:rPr>
        <w:t>Appeal point 1</w:t>
      </w:r>
      <w:r w:rsidR="00DB178D">
        <w:rPr>
          <w:rFonts w:ascii="Arial" w:hAnsi="Arial" w:cs="Arial"/>
          <w:b/>
          <w:sz w:val="20"/>
          <w:szCs w:val="20"/>
          <w:u w:val="single"/>
        </w:rPr>
        <w:t>(a).1</w:t>
      </w:r>
      <w:r w:rsidRPr="0043022B">
        <w:rPr>
          <w:rFonts w:ascii="Arial" w:hAnsi="Arial" w:cs="Arial"/>
          <w:b/>
          <w:sz w:val="20"/>
          <w:szCs w:val="20"/>
          <w:u w:val="single"/>
        </w:rPr>
        <w:t xml:space="preserve">; </w:t>
      </w:r>
      <w:r w:rsidR="00020963" w:rsidRPr="00020963">
        <w:rPr>
          <w:rFonts w:ascii="Arial" w:hAnsi="Arial" w:cs="Arial"/>
          <w:b/>
          <w:sz w:val="20"/>
          <w:szCs w:val="20"/>
          <w:u w:val="single"/>
        </w:rPr>
        <w:t>NICE has followed an ad hoc process and departed significantly from established procedures for MTAs</w:t>
      </w:r>
    </w:p>
    <w:p w14:paraId="65F455F6" w14:textId="2E98B637" w:rsidR="00020963" w:rsidRDefault="00020963" w:rsidP="00020963">
      <w:pPr>
        <w:pStyle w:val="Paragraph"/>
        <w:numPr>
          <w:ilvl w:val="0"/>
          <w:numId w:val="0"/>
        </w:numPr>
        <w:jc w:val="both"/>
        <w:rPr>
          <w:rFonts w:cs="Arial"/>
          <w:sz w:val="20"/>
          <w:szCs w:val="20"/>
        </w:rPr>
      </w:pPr>
      <w:r>
        <w:rPr>
          <w:rFonts w:cs="Arial"/>
          <w:sz w:val="20"/>
          <w:szCs w:val="20"/>
        </w:rPr>
        <w:t xml:space="preserve">In my initial scrutiny letter I set out that I was </w:t>
      </w:r>
      <w:r w:rsidRPr="00020963">
        <w:rPr>
          <w:rFonts w:cs="Arial"/>
          <w:sz w:val="20"/>
          <w:szCs w:val="20"/>
        </w:rPr>
        <w:t xml:space="preserve">minded to refer this appeal point to the Appeal Panel, save that </w:t>
      </w:r>
      <w:r w:rsidR="0039325B">
        <w:rPr>
          <w:rFonts w:cs="Arial"/>
          <w:sz w:val="20"/>
          <w:szCs w:val="20"/>
        </w:rPr>
        <w:t>I was</w:t>
      </w:r>
      <w:r w:rsidRPr="00020963">
        <w:rPr>
          <w:rFonts w:cs="Arial"/>
          <w:sz w:val="20"/>
          <w:szCs w:val="20"/>
        </w:rPr>
        <w:t xml:space="preserve"> not minded to admit challenges against the NICE Manual or the Process Statement per se. </w:t>
      </w:r>
      <w:r>
        <w:rPr>
          <w:rFonts w:cs="Arial"/>
          <w:sz w:val="20"/>
          <w:szCs w:val="20"/>
        </w:rPr>
        <w:t>I’ve considered your comments in response to that position.</w:t>
      </w:r>
    </w:p>
    <w:p w14:paraId="3D37FE6E" w14:textId="5D174D7C" w:rsidR="00020963" w:rsidRDefault="00020963" w:rsidP="00020963">
      <w:pPr>
        <w:pStyle w:val="Paragraph"/>
        <w:numPr>
          <w:ilvl w:val="0"/>
          <w:numId w:val="0"/>
        </w:numPr>
        <w:jc w:val="both"/>
        <w:rPr>
          <w:rFonts w:cs="Arial"/>
          <w:sz w:val="20"/>
          <w:szCs w:val="20"/>
        </w:rPr>
      </w:pPr>
      <w:r>
        <w:rPr>
          <w:rFonts w:cs="Arial"/>
          <w:sz w:val="20"/>
          <w:szCs w:val="20"/>
        </w:rPr>
        <w:t>Thank you for confirming MSD accepts for the purposes of this appeal that it cannot challenge the content of the Manual itself and that your argument under this point is</w:t>
      </w:r>
      <w:r w:rsidRPr="00020963">
        <w:rPr>
          <w:rFonts w:cs="Arial"/>
          <w:sz w:val="20"/>
          <w:szCs w:val="20"/>
        </w:rPr>
        <w:t xml:space="preserve"> that the procedure adopted did not adhere to the procedure and safeguards contained in the Manual (and at times</w:t>
      </w:r>
      <w:r w:rsidR="0039325B">
        <w:rPr>
          <w:rFonts w:cs="Arial"/>
          <w:sz w:val="20"/>
          <w:szCs w:val="20"/>
        </w:rPr>
        <w:t>,</w:t>
      </w:r>
      <w:r w:rsidRPr="00020963">
        <w:rPr>
          <w:rFonts w:cs="Arial"/>
          <w:sz w:val="20"/>
          <w:szCs w:val="20"/>
        </w:rPr>
        <w:t xml:space="preserve"> in </w:t>
      </w:r>
      <w:r w:rsidR="0039325B">
        <w:rPr>
          <w:rFonts w:cs="Arial"/>
          <w:sz w:val="20"/>
          <w:szCs w:val="20"/>
        </w:rPr>
        <w:t>your view,</w:t>
      </w:r>
      <w:r w:rsidRPr="00020963">
        <w:rPr>
          <w:rFonts w:cs="Arial"/>
          <w:sz w:val="20"/>
          <w:szCs w:val="20"/>
        </w:rPr>
        <w:t xml:space="preserve"> undermined those safeguards).</w:t>
      </w:r>
    </w:p>
    <w:p w14:paraId="0CE4F3E9" w14:textId="17E123B9" w:rsidR="00020963" w:rsidRDefault="00020963" w:rsidP="00020963">
      <w:pPr>
        <w:pStyle w:val="Paragraph"/>
        <w:numPr>
          <w:ilvl w:val="0"/>
          <w:numId w:val="0"/>
        </w:numPr>
        <w:jc w:val="both"/>
        <w:rPr>
          <w:rFonts w:cs="Arial"/>
          <w:sz w:val="20"/>
          <w:szCs w:val="20"/>
        </w:rPr>
      </w:pPr>
      <w:r>
        <w:rPr>
          <w:rFonts w:cs="Arial"/>
          <w:sz w:val="20"/>
          <w:szCs w:val="20"/>
        </w:rPr>
        <w:t xml:space="preserve">I note you consider the </w:t>
      </w:r>
      <w:r w:rsidRPr="00020963">
        <w:rPr>
          <w:rFonts w:cs="Arial"/>
          <w:sz w:val="20"/>
          <w:szCs w:val="20"/>
        </w:rPr>
        <w:t>Process Statement</w:t>
      </w:r>
      <w:r>
        <w:rPr>
          <w:rFonts w:cs="Arial"/>
          <w:sz w:val="20"/>
          <w:szCs w:val="20"/>
        </w:rPr>
        <w:t xml:space="preserve"> </w:t>
      </w:r>
      <w:r w:rsidRPr="00020963">
        <w:rPr>
          <w:rFonts w:cs="Arial"/>
          <w:sz w:val="20"/>
          <w:szCs w:val="20"/>
        </w:rPr>
        <w:t xml:space="preserve">differs fundamentally from the Manual, and </w:t>
      </w:r>
      <w:r>
        <w:rPr>
          <w:rFonts w:cs="Arial"/>
          <w:sz w:val="20"/>
          <w:szCs w:val="20"/>
        </w:rPr>
        <w:t>MSD</w:t>
      </w:r>
      <w:r w:rsidRPr="00020963">
        <w:rPr>
          <w:rFonts w:cs="Arial"/>
          <w:sz w:val="20"/>
          <w:szCs w:val="20"/>
        </w:rPr>
        <w:t xml:space="preserve"> do</w:t>
      </w:r>
      <w:r>
        <w:rPr>
          <w:rFonts w:cs="Arial"/>
          <w:sz w:val="20"/>
          <w:szCs w:val="20"/>
        </w:rPr>
        <w:t>es</w:t>
      </w:r>
      <w:r w:rsidRPr="00020963">
        <w:rPr>
          <w:rFonts w:cs="Arial"/>
          <w:sz w:val="20"/>
          <w:szCs w:val="20"/>
        </w:rPr>
        <w:t xml:space="preserve"> not accept that the Process Statement cannot be the proper subject of an appeal</w:t>
      </w:r>
      <w:r>
        <w:rPr>
          <w:rFonts w:cs="Arial"/>
          <w:sz w:val="20"/>
          <w:szCs w:val="20"/>
        </w:rPr>
        <w:t>, which you say “</w:t>
      </w:r>
      <w:r w:rsidRPr="00020963">
        <w:rPr>
          <w:rFonts w:cs="Arial"/>
          <w:i/>
          <w:iCs/>
          <w:sz w:val="20"/>
          <w:szCs w:val="20"/>
        </w:rPr>
        <w:t>is not a procedure that NICE is legally bound to follow in all appraisals, but rather something that NICE has chosen to follow because of the peculiarities of this particular appraisal.</w:t>
      </w:r>
      <w:r>
        <w:rPr>
          <w:rFonts w:cs="Arial"/>
          <w:sz w:val="20"/>
          <w:szCs w:val="20"/>
        </w:rPr>
        <w:t>”</w:t>
      </w:r>
      <w:r w:rsidR="002B2A36">
        <w:rPr>
          <w:rFonts w:cs="Arial"/>
          <w:sz w:val="20"/>
          <w:szCs w:val="20"/>
        </w:rPr>
        <w:t xml:space="preserve"> I note your </w:t>
      </w:r>
      <w:r w:rsidR="0039325B">
        <w:rPr>
          <w:rFonts w:cs="Arial"/>
          <w:sz w:val="20"/>
          <w:szCs w:val="20"/>
        </w:rPr>
        <w:t>position</w:t>
      </w:r>
      <w:r w:rsidR="002B2A36">
        <w:rPr>
          <w:rFonts w:cs="Arial"/>
          <w:sz w:val="20"/>
          <w:szCs w:val="20"/>
        </w:rPr>
        <w:t xml:space="preserve"> that</w:t>
      </w:r>
      <w:r w:rsidR="0039325B">
        <w:rPr>
          <w:rFonts w:cs="Arial"/>
          <w:sz w:val="20"/>
          <w:szCs w:val="20"/>
        </w:rPr>
        <w:t>:</w:t>
      </w:r>
      <w:r w:rsidR="002B2A36">
        <w:rPr>
          <w:rFonts w:cs="Arial"/>
          <w:sz w:val="20"/>
          <w:szCs w:val="20"/>
        </w:rPr>
        <w:t xml:space="preserve"> “</w:t>
      </w:r>
      <w:r w:rsidR="002B2A36" w:rsidRPr="002B2A36">
        <w:rPr>
          <w:rFonts w:cs="Arial"/>
          <w:i/>
          <w:iCs/>
          <w:sz w:val="20"/>
          <w:szCs w:val="20"/>
        </w:rPr>
        <w:t>Any changes to NICE’s published processes in the Guidance Manual (which is adopted after mandatory consultation</w:t>
      </w:r>
      <w:r w:rsidR="00F503F4">
        <w:rPr>
          <w:rFonts w:cs="Arial"/>
          <w:i/>
          <w:iCs/>
          <w:sz w:val="20"/>
          <w:szCs w:val="20"/>
        </w:rPr>
        <w:t>…</w:t>
      </w:r>
      <w:r w:rsidR="002B2A36" w:rsidRPr="002B2A36">
        <w:rPr>
          <w:rFonts w:cs="Arial"/>
          <w:i/>
          <w:iCs/>
          <w:sz w:val="20"/>
          <w:szCs w:val="20"/>
        </w:rPr>
        <w:t>) − no matter how procedurally unfair they might be − would then apparently be beyond the scope of an appeal and only challengeable by way of a judicial review</w:t>
      </w:r>
      <w:r w:rsidR="002B2A36" w:rsidRPr="002B2A36">
        <w:rPr>
          <w:rFonts w:cs="Arial"/>
          <w:sz w:val="20"/>
          <w:szCs w:val="20"/>
        </w:rPr>
        <w:t>.</w:t>
      </w:r>
      <w:r w:rsidR="002B2A36">
        <w:rPr>
          <w:rFonts w:cs="Arial"/>
          <w:sz w:val="20"/>
          <w:szCs w:val="20"/>
        </w:rPr>
        <w:t>”</w:t>
      </w:r>
    </w:p>
    <w:p w14:paraId="5E412E41" w14:textId="289E613B" w:rsidR="00F503F4" w:rsidRDefault="000729AE" w:rsidP="00020963">
      <w:pPr>
        <w:pStyle w:val="Paragraph"/>
        <w:numPr>
          <w:ilvl w:val="0"/>
          <w:numId w:val="0"/>
        </w:numPr>
        <w:jc w:val="both"/>
        <w:rPr>
          <w:rFonts w:cs="Arial"/>
          <w:sz w:val="20"/>
          <w:szCs w:val="20"/>
        </w:rPr>
      </w:pPr>
      <w:r>
        <w:rPr>
          <w:rFonts w:cs="Arial"/>
          <w:sz w:val="20"/>
          <w:szCs w:val="20"/>
        </w:rPr>
        <w:t xml:space="preserve">You summarise that </w:t>
      </w:r>
    </w:p>
    <w:p w14:paraId="3070ECEA" w14:textId="7D5255F1" w:rsidR="000729AE" w:rsidRPr="000729AE" w:rsidRDefault="000729AE" w:rsidP="000729AE">
      <w:pPr>
        <w:pStyle w:val="Paragraph"/>
        <w:numPr>
          <w:ilvl w:val="0"/>
          <w:numId w:val="0"/>
        </w:numPr>
        <w:ind w:left="851"/>
        <w:jc w:val="both"/>
        <w:rPr>
          <w:rFonts w:cs="Arial"/>
          <w:i/>
          <w:iCs/>
          <w:sz w:val="20"/>
          <w:szCs w:val="20"/>
        </w:rPr>
      </w:pPr>
      <w:r>
        <w:rPr>
          <w:rFonts w:cs="Arial"/>
          <w:sz w:val="20"/>
          <w:szCs w:val="20"/>
        </w:rPr>
        <w:t>“</w:t>
      </w:r>
      <w:r w:rsidRPr="000729AE">
        <w:rPr>
          <w:rFonts w:cs="Arial"/>
          <w:i/>
          <w:iCs/>
          <w:sz w:val="20"/>
          <w:szCs w:val="20"/>
        </w:rPr>
        <w:t>With respect to the Process Statement, our appeal therefore asks two distinct questions:</w:t>
      </w:r>
    </w:p>
    <w:p w14:paraId="46D46B6A" w14:textId="5E298E4F" w:rsidR="000729AE" w:rsidRPr="000729AE" w:rsidRDefault="000729AE" w:rsidP="000729AE">
      <w:pPr>
        <w:pStyle w:val="Paragraph"/>
        <w:numPr>
          <w:ilvl w:val="0"/>
          <w:numId w:val="12"/>
        </w:numPr>
        <w:jc w:val="both"/>
        <w:rPr>
          <w:rFonts w:cs="Arial"/>
          <w:i/>
          <w:iCs/>
          <w:sz w:val="20"/>
          <w:szCs w:val="20"/>
        </w:rPr>
      </w:pPr>
      <w:r w:rsidRPr="000729AE">
        <w:rPr>
          <w:rFonts w:cs="Arial"/>
          <w:i/>
          <w:iCs/>
          <w:sz w:val="20"/>
          <w:szCs w:val="20"/>
        </w:rPr>
        <w:t>whether the Process Statement is consistent with the Guidance Manual and upholds the procedural safeguards in the Guidance Manual; and</w:t>
      </w:r>
    </w:p>
    <w:p w14:paraId="3A06346A" w14:textId="24240C2D" w:rsidR="000729AE" w:rsidRPr="000729AE" w:rsidRDefault="000729AE" w:rsidP="000729AE">
      <w:pPr>
        <w:pStyle w:val="Paragraph"/>
        <w:numPr>
          <w:ilvl w:val="0"/>
          <w:numId w:val="12"/>
        </w:numPr>
        <w:jc w:val="both"/>
        <w:rPr>
          <w:rFonts w:cs="Arial"/>
          <w:i/>
          <w:iCs/>
          <w:sz w:val="20"/>
          <w:szCs w:val="20"/>
        </w:rPr>
      </w:pPr>
      <w:r w:rsidRPr="000729AE">
        <w:rPr>
          <w:rFonts w:cs="Arial"/>
          <w:i/>
          <w:iCs/>
          <w:sz w:val="20"/>
          <w:szCs w:val="20"/>
        </w:rPr>
        <w:lastRenderedPageBreak/>
        <w:t>separately, whether the Appraisal Committee did in fact follow the Process Statement in this appraisal.</w:t>
      </w:r>
      <w:r>
        <w:rPr>
          <w:rFonts w:cs="Arial"/>
          <w:i/>
          <w:iCs/>
          <w:sz w:val="20"/>
          <w:szCs w:val="20"/>
        </w:rPr>
        <w:t>”</w:t>
      </w:r>
    </w:p>
    <w:p w14:paraId="6E5AC66E" w14:textId="6374EF83" w:rsidR="0039325B" w:rsidRDefault="00671EF3" w:rsidP="00020963">
      <w:pPr>
        <w:pStyle w:val="Paragraph"/>
        <w:numPr>
          <w:ilvl w:val="0"/>
          <w:numId w:val="0"/>
        </w:numPr>
        <w:jc w:val="both"/>
        <w:rPr>
          <w:rFonts w:cs="Arial"/>
          <w:sz w:val="20"/>
          <w:szCs w:val="20"/>
        </w:rPr>
      </w:pPr>
      <w:r w:rsidRPr="00E07BC5">
        <w:rPr>
          <w:rFonts w:cs="Arial"/>
          <w:sz w:val="20"/>
          <w:szCs w:val="20"/>
        </w:rPr>
        <w:t xml:space="preserve">Having considered the additional arguments made in your letter of </w:t>
      </w:r>
      <w:r w:rsidR="002B2A36" w:rsidRPr="00E07BC5">
        <w:rPr>
          <w:rFonts w:cs="Arial"/>
          <w:sz w:val="20"/>
          <w:szCs w:val="20"/>
        </w:rPr>
        <w:t>27 March</w:t>
      </w:r>
      <w:r w:rsidRPr="00E07BC5">
        <w:rPr>
          <w:rFonts w:cs="Arial"/>
          <w:sz w:val="20"/>
          <w:szCs w:val="20"/>
        </w:rPr>
        <w:t xml:space="preserve">, I </w:t>
      </w:r>
      <w:r w:rsidR="0039325B">
        <w:rPr>
          <w:rFonts w:cs="Arial"/>
          <w:sz w:val="20"/>
          <w:szCs w:val="20"/>
        </w:rPr>
        <w:t xml:space="preserve">am of the view that the pertinent question for the Appeal Panel, under this appeal point, is whether </w:t>
      </w:r>
      <w:r w:rsidR="009A0879" w:rsidRPr="009A0879">
        <w:rPr>
          <w:rFonts w:cs="Arial"/>
          <w:sz w:val="20"/>
          <w:szCs w:val="20"/>
        </w:rPr>
        <w:t>NICE failed to act fairly, by following an ad-hoc process that departed from the Manual.</w:t>
      </w:r>
    </w:p>
    <w:p w14:paraId="47D8998C" w14:textId="77777777" w:rsidR="0039325B" w:rsidRDefault="0039325B" w:rsidP="00020963">
      <w:pPr>
        <w:pStyle w:val="Paragraph"/>
        <w:numPr>
          <w:ilvl w:val="0"/>
          <w:numId w:val="0"/>
        </w:numPr>
        <w:jc w:val="both"/>
        <w:rPr>
          <w:rFonts w:cs="Arial"/>
          <w:sz w:val="20"/>
          <w:szCs w:val="20"/>
        </w:rPr>
      </w:pPr>
      <w:r>
        <w:rPr>
          <w:rFonts w:cs="Arial"/>
          <w:sz w:val="20"/>
          <w:szCs w:val="20"/>
        </w:rPr>
        <w:t>In considering this point, I anticipate that the Appeal Panel will wish to consider:</w:t>
      </w:r>
    </w:p>
    <w:p w14:paraId="668C7190" w14:textId="77777777" w:rsidR="0039325B" w:rsidRDefault="0039325B" w:rsidP="0039325B">
      <w:pPr>
        <w:pStyle w:val="Paragraph"/>
        <w:numPr>
          <w:ilvl w:val="0"/>
          <w:numId w:val="21"/>
        </w:numPr>
        <w:jc w:val="both"/>
        <w:rPr>
          <w:rFonts w:cs="Arial"/>
          <w:sz w:val="20"/>
          <w:szCs w:val="20"/>
        </w:rPr>
      </w:pPr>
      <w:r>
        <w:rPr>
          <w:rFonts w:cs="Arial"/>
          <w:sz w:val="20"/>
          <w:szCs w:val="20"/>
        </w:rPr>
        <w:t>the extent to which the Committee did depart from the Manual;</w:t>
      </w:r>
    </w:p>
    <w:p w14:paraId="4B0D2FF8" w14:textId="11371D88" w:rsidR="0039325B" w:rsidRDefault="0039325B" w:rsidP="0039325B">
      <w:pPr>
        <w:pStyle w:val="Paragraph"/>
        <w:numPr>
          <w:ilvl w:val="0"/>
          <w:numId w:val="21"/>
        </w:numPr>
        <w:jc w:val="both"/>
        <w:rPr>
          <w:rFonts w:cs="Arial"/>
          <w:sz w:val="20"/>
          <w:szCs w:val="20"/>
        </w:rPr>
      </w:pPr>
      <w:r>
        <w:rPr>
          <w:rFonts w:cs="Arial"/>
          <w:sz w:val="20"/>
          <w:szCs w:val="20"/>
        </w:rPr>
        <w:t>if / the extent to which any departures potentially caused unfairness; and</w:t>
      </w:r>
    </w:p>
    <w:p w14:paraId="0765ACBC" w14:textId="17F349A4" w:rsidR="0039325B" w:rsidRDefault="0039325B" w:rsidP="0039325B">
      <w:pPr>
        <w:pStyle w:val="Paragraph"/>
        <w:numPr>
          <w:ilvl w:val="0"/>
          <w:numId w:val="21"/>
        </w:numPr>
        <w:jc w:val="both"/>
        <w:rPr>
          <w:rFonts w:cs="Arial"/>
          <w:sz w:val="20"/>
          <w:szCs w:val="20"/>
        </w:rPr>
      </w:pPr>
      <w:r>
        <w:rPr>
          <w:rFonts w:cs="Arial"/>
          <w:sz w:val="20"/>
          <w:szCs w:val="20"/>
        </w:rPr>
        <w:t xml:space="preserve">if / the extent to which any potential unfairness was mitigated by the use of the Process Statement. </w:t>
      </w:r>
    </w:p>
    <w:p w14:paraId="48AB7B18" w14:textId="11039391" w:rsidR="00020963" w:rsidRPr="00020963" w:rsidRDefault="00020963" w:rsidP="00DB178D">
      <w:pPr>
        <w:pStyle w:val="Paragraph"/>
        <w:numPr>
          <w:ilvl w:val="0"/>
          <w:numId w:val="0"/>
        </w:numPr>
        <w:spacing w:before="120"/>
        <w:jc w:val="both"/>
        <w:rPr>
          <w:rFonts w:cs="Arial"/>
          <w:b/>
          <w:iCs/>
          <w:sz w:val="20"/>
          <w:szCs w:val="20"/>
          <w:u w:val="single"/>
        </w:rPr>
      </w:pPr>
      <w:r w:rsidRPr="00020963">
        <w:rPr>
          <w:rFonts w:cs="Arial"/>
          <w:b/>
          <w:iCs/>
          <w:sz w:val="20"/>
          <w:szCs w:val="20"/>
          <w:u w:val="single"/>
        </w:rPr>
        <w:t>Appeal point 1(a).2; The ad hoc process that NICE followed was inconsistent, unfair and unfit for purpose</w:t>
      </w:r>
    </w:p>
    <w:p w14:paraId="4C5260EA" w14:textId="6C95460A" w:rsidR="00020963" w:rsidRDefault="00993056" w:rsidP="00DB178D">
      <w:pPr>
        <w:pStyle w:val="Paragraph"/>
        <w:numPr>
          <w:ilvl w:val="0"/>
          <w:numId w:val="0"/>
        </w:numPr>
        <w:spacing w:before="120"/>
        <w:jc w:val="both"/>
        <w:rPr>
          <w:rFonts w:cs="Arial"/>
          <w:sz w:val="20"/>
          <w:szCs w:val="20"/>
        </w:rPr>
      </w:pPr>
      <w:r>
        <w:rPr>
          <w:rFonts w:cs="Arial"/>
          <w:sz w:val="20"/>
          <w:szCs w:val="20"/>
        </w:rPr>
        <w:t xml:space="preserve">In my initial scrutiny letter I explained I was </w:t>
      </w:r>
      <w:r w:rsidRPr="00993056">
        <w:rPr>
          <w:rFonts w:cs="Arial"/>
          <w:sz w:val="20"/>
          <w:szCs w:val="20"/>
        </w:rPr>
        <w:t xml:space="preserve">minded to refer this point 1(a).2 on the following limited basis: that NICE acted unfairly because it departed from published process by (1) allowing EAG to take decisions that should have remained with the Committee and (2) by allowing the EAG to make procedural and methodological changes without prior warning.  </w:t>
      </w:r>
    </w:p>
    <w:p w14:paraId="35ACE1C6" w14:textId="7C45A9C1" w:rsidR="00993056" w:rsidRPr="00993056" w:rsidRDefault="00993056" w:rsidP="00DB178D">
      <w:pPr>
        <w:pStyle w:val="Paragraph"/>
        <w:numPr>
          <w:ilvl w:val="0"/>
          <w:numId w:val="0"/>
        </w:numPr>
        <w:spacing w:before="120"/>
        <w:jc w:val="both"/>
        <w:rPr>
          <w:rFonts w:cs="Arial"/>
          <w:b/>
          <w:iCs/>
          <w:sz w:val="20"/>
          <w:szCs w:val="20"/>
        </w:rPr>
      </w:pPr>
      <w:r>
        <w:rPr>
          <w:rFonts w:cs="Arial"/>
          <w:sz w:val="20"/>
          <w:szCs w:val="20"/>
        </w:rPr>
        <w:t xml:space="preserve">Your letter of 27 March 2023 argues for a broader appeal point. </w:t>
      </w:r>
    </w:p>
    <w:p w14:paraId="0BA1B7A4" w14:textId="0FBF5ECA" w:rsidR="00993056" w:rsidRPr="0043022B" w:rsidRDefault="00993056" w:rsidP="00993056">
      <w:pPr>
        <w:pStyle w:val="Paragraph"/>
        <w:numPr>
          <w:ilvl w:val="0"/>
          <w:numId w:val="0"/>
        </w:numPr>
        <w:jc w:val="both"/>
        <w:rPr>
          <w:rFonts w:cs="Arial"/>
          <w:sz w:val="20"/>
          <w:szCs w:val="20"/>
        </w:rPr>
      </w:pPr>
      <w:r w:rsidRPr="00F25E1F">
        <w:rPr>
          <w:rFonts w:cs="Arial"/>
          <w:sz w:val="20"/>
          <w:szCs w:val="20"/>
        </w:rPr>
        <w:t>Having considered the additional arguments made at (a)-(c) in your letter of 27 March, I agree these are valid arguments within this point 1(a).2. That is because</w:t>
      </w:r>
      <w:r w:rsidR="00F25E1F">
        <w:rPr>
          <w:rFonts w:cs="Arial"/>
          <w:sz w:val="20"/>
          <w:szCs w:val="20"/>
        </w:rPr>
        <w:t xml:space="preserve"> </w:t>
      </w:r>
      <w:r w:rsidR="000262B6">
        <w:rPr>
          <w:rFonts w:cs="Arial"/>
          <w:sz w:val="20"/>
          <w:szCs w:val="20"/>
        </w:rPr>
        <w:t xml:space="preserve">there is a valid argument that the individual examples </w:t>
      </w:r>
      <w:r w:rsidR="00A92ACC">
        <w:rPr>
          <w:rFonts w:cs="Arial"/>
          <w:sz w:val="20"/>
          <w:szCs w:val="20"/>
        </w:rPr>
        <w:t>should</w:t>
      </w:r>
      <w:r w:rsidR="000262B6">
        <w:rPr>
          <w:rFonts w:cs="Arial"/>
          <w:sz w:val="20"/>
          <w:szCs w:val="20"/>
        </w:rPr>
        <w:t xml:space="preserve"> be </w:t>
      </w:r>
      <w:r w:rsidR="00332ED4">
        <w:rPr>
          <w:rFonts w:cs="Arial"/>
          <w:sz w:val="20"/>
          <w:szCs w:val="20"/>
        </w:rPr>
        <w:t>considered</w:t>
      </w:r>
      <w:r w:rsidR="000262B6">
        <w:rPr>
          <w:rFonts w:cs="Arial"/>
          <w:sz w:val="20"/>
          <w:szCs w:val="20"/>
        </w:rPr>
        <w:t xml:space="preserve"> collectively</w:t>
      </w:r>
      <w:r w:rsidR="00332ED4">
        <w:rPr>
          <w:rFonts w:cs="Arial"/>
          <w:sz w:val="20"/>
          <w:szCs w:val="20"/>
        </w:rPr>
        <w:t>.   Whilst the incremental changes that were introduced, and which deviated from the process manual, may not be considered as significant when viewed individually there is an arguable point that the holistic effect could create unfairness</w:t>
      </w:r>
      <w:r w:rsidR="00281448">
        <w:rPr>
          <w:rFonts w:cs="Arial"/>
          <w:sz w:val="20"/>
          <w:szCs w:val="20"/>
        </w:rPr>
        <w:t xml:space="preserve"> in the process</w:t>
      </w:r>
      <w:r w:rsidR="00332ED4">
        <w:rPr>
          <w:rFonts w:cs="Arial"/>
          <w:sz w:val="20"/>
          <w:szCs w:val="20"/>
        </w:rPr>
        <w:t xml:space="preserve">.  </w:t>
      </w:r>
    </w:p>
    <w:p w14:paraId="1661AFC2" w14:textId="77777777" w:rsidR="0039325B" w:rsidRDefault="0039325B" w:rsidP="00DB178D">
      <w:pPr>
        <w:pStyle w:val="Paragraph"/>
        <w:numPr>
          <w:ilvl w:val="0"/>
          <w:numId w:val="0"/>
        </w:numPr>
        <w:spacing w:before="120"/>
        <w:jc w:val="both"/>
        <w:rPr>
          <w:rFonts w:cs="Arial"/>
          <w:bCs/>
          <w:iCs/>
          <w:sz w:val="20"/>
          <w:szCs w:val="20"/>
        </w:rPr>
      </w:pPr>
      <w:r>
        <w:rPr>
          <w:rFonts w:cs="Arial"/>
          <w:bCs/>
          <w:iCs/>
          <w:sz w:val="20"/>
          <w:szCs w:val="20"/>
        </w:rPr>
        <w:t>I have also considered and accept your proposal that your appeal point challenging the delegation of decisions to the EAG should sit under ground 1(b).</w:t>
      </w:r>
    </w:p>
    <w:p w14:paraId="6FDA4ACA" w14:textId="5736BB17" w:rsidR="0039325B" w:rsidRDefault="0039325B" w:rsidP="00DB178D">
      <w:pPr>
        <w:pStyle w:val="Paragraph"/>
        <w:numPr>
          <w:ilvl w:val="0"/>
          <w:numId w:val="0"/>
        </w:numPr>
        <w:spacing w:before="120"/>
        <w:jc w:val="both"/>
        <w:rPr>
          <w:rFonts w:cs="Arial"/>
          <w:bCs/>
          <w:iCs/>
          <w:sz w:val="20"/>
          <w:szCs w:val="20"/>
        </w:rPr>
      </w:pPr>
      <w:r>
        <w:rPr>
          <w:rFonts w:cs="Arial"/>
          <w:bCs/>
          <w:iCs/>
          <w:sz w:val="20"/>
          <w:szCs w:val="20"/>
        </w:rPr>
        <w:t>Accordingly, I will refer two separate points to the Appeal Panel:</w:t>
      </w:r>
    </w:p>
    <w:p w14:paraId="69B45544" w14:textId="76E34CE8" w:rsidR="0039325B" w:rsidRDefault="0039325B" w:rsidP="00DB178D">
      <w:pPr>
        <w:pStyle w:val="Paragraph"/>
        <w:numPr>
          <w:ilvl w:val="0"/>
          <w:numId w:val="0"/>
        </w:numPr>
        <w:spacing w:before="120"/>
        <w:jc w:val="both"/>
        <w:rPr>
          <w:rFonts w:cs="Arial"/>
          <w:bCs/>
          <w:iCs/>
          <w:sz w:val="20"/>
          <w:szCs w:val="20"/>
        </w:rPr>
      </w:pPr>
      <w:r>
        <w:rPr>
          <w:rFonts w:cs="Arial"/>
          <w:bCs/>
          <w:iCs/>
          <w:sz w:val="20"/>
          <w:szCs w:val="20"/>
        </w:rPr>
        <w:t xml:space="preserve">Appeal point 1(a).2: </w:t>
      </w:r>
      <w:r w:rsidR="008273F3">
        <w:rPr>
          <w:rFonts w:cs="Arial"/>
          <w:bCs/>
          <w:iCs/>
          <w:sz w:val="20"/>
          <w:szCs w:val="20"/>
        </w:rPr>
        <w:t>NICE acted unfairly because of ad hoc process changes during the appraisal that individually or taken together led to unfairness.</w:t>
      </w:r>
    </w:p>
    <w:p w14:paraId="090A5C37" w14:textId="2AAB6A40" w:rsidR="008273F3" w:rsidRDefault="008273F3" w:rsidP="00DB178D">
      <w:pPr>
        <w:pStyle w:val="Paragraph"/>
        <w:numPr>
          <w:ilvl w:val="0"/>
          <w:numId w:val="0"/>
        </w:numPr>
        <w:spacing w:before="120"/>
        <w:jc w:val="both"/>
        <w:rPr>
          <w:rFonts w:cs="Arial"/>
          <w:bCs/>
          <w:iCs/>
          <w:sz w:val="20"/>
          <w:szCs w:val="20"/>
        </w:rPr>
      </w:pPr>
      <w:r>
        <w:rPr>
          <w:rFonts w:cs="Arial"/>
          <w:bCs/>
          <w:iCs/>
          <w:sz w:val="20"/>
          <w:szCs w:val="20"/>
        </w:rPr>
        <w:t>Appeal point 1(b).2: NICE exceeded its powers by allowing the EAG to take decisions that should have remained with the Committee.</w:t>
      </w:r>
    </w:p>
    <w:p w14:paraId="377D4519" w14:textId="77777777" w:rsidR="008273F3" w:rsidRDefault="002E750D" w:rsidP="002E750D">
      <w:pPr>
        <w:pStyle w:val="BodyText"/>
        <w:jc w:val="both"/>
        <w:rPr>
          <w:rFonts w:cs="Arial"/>
          <w:b/>
          <w:color w:val="auto"/>
          <w:u w:val="single"/>
        </w:rPr>
      </w:pPr>
      <w:r w:rsidRPr="00067E26">
        <w:rPr>
          <w:rFonts w:cs="Arial"/>
          <w:b/>
          <w:color w:val="auto"/>
          <w:u w:val="single"/>
        </w:rPr>
        <w:t>Appeal point 1a.3; The Appraisal Committee’s closing its eyes entirely to relevant real-world evidence about molnupiravir proposed by MSD is procedurally unsound and led to an unfair assessment</w:t>
      </w:r>
      <w:r>
        <w:rPr>
          <w:rFonts w:cs="Arial"/>
          <w:b/>
          <w:color w:val="auto"/>
          <w:u w:val="single"/>
        </w:rPr>
        <w:t xml:space="preserve">; </w:t>
      </w:r>
    </w:p>
    <w:p w14:paraId="0FE5EFC3" w14:textId="4D32F8BD" w:rsidR="002E750D" w:rsidRPr="00067E26" w:rsidRDefault="002E750D" w:rsidP="002E750D">
      <w:pPr>
        <w:pStyle w:val="BodyText"/>
        <w:jc w:val="both"/>
        <w:rPr>
          <w:rFonts w:cs="Arial"/>
          <w:b/>
          <w:color w:val="auto"/>
          <w:u w:val="single"/>
        </w:rPr>
      </w:pPr>
      <w:r w:rsidRPr="00067E26">
        <w:rPr>
          <w:rFonts w:cs="Arial"/>
          <w:b/>
          <w:color w:val="auto"/>
          <w:u w:val="single"/>
        </w:rPr>
        <w:t>Appeal point 1a.4; The approach to real world evidence in this appraisal is inconsistent and runs contrary to the Guidance Manual and NICE’s obligation to carry out a fair and rational process.</w:t>
      </w:r>
    </w:p>
    <w:p w14:paraId="45DF7B22" w14:textId="1A0B439E" w:rsidR="002E750D" w:rsidRDefault="002E750D" w:rsidP="002E750D">
      <w:pPr>
        <w:pStyle w:val="Paragraph"/>
        <w:numPr>
          <w:ilvl w:val="0"/>
          <w:numId w:val="0"/>
        </w:numPr>
        <w:spacing w:before="120"/>
        <w:jc w:val="both"/>
        <w:rPr>
          <w:rFonts w:cs="Arial"/>
          <w:bCs/>
          <w:iCs/>
          <w:sz w:val="20"/>
          <w:szCs w:val="20"/>
        </w:rPr>
      </w:pPr>
      <w:r w:rsidRPr="00B94AF6">
        <w:rPr>
          <w:rFonts w:cs="Arial"/>
          <w:bCs/>
          <w:iCs/>
          <w:sz w:val="20"/>
          <w:szCs w:val="20"/>
        </w:rPr>
        <w:t>Thank you for confirming MSD is comfortable with combining Appeal points 1a.3 and 1a.4.  I accept</w:t>
      </w:r>
      <w:r w:rsidR="00B94AF6" w:rsidRPr="00B94AF6">
        <w:rPr>
          <w:rFonts w:cs="Arial"/>
          <w:bCs/>
          <w:iCs/>
          <w:sz w:val="20"/>
          <w:szCs w:val="20"/>
        </w:rPr>
        <w:t xml:space="preserve"> </w:t>
      </w:r>
      <w:r w:rsidRPr="00B94AF6">
        <w:rPr>
          <w:rFonts w:cs="Arial"/>
          <w:bCs/>
          <w:iCs/>
          <w:sz w:val="20"/>
          <w:szCs w:val="20"/>
        </w:rPr>
        <w:t xml:space="preserve">your </w:t>
      </w:r>
      <w:r w:rsidR="008273F3">
        <w:rPr>
          <w:rFonts w:cs="Arial"/>
          <w:bCs/>
          <w:iCs/>
          <w:sz w:val="20"/>
          <w:szCs w:val="20"/>
        </w:rPr>
        <w:t>amendment to the appeal point wording</w:t>
      </w:r>
      <w:r w:rsidRPr="00B94AF6">
        <w:rPr>
          <w:rFonts w:cs="Arial"/>
          <w:bCs/>
          <w:iCs/>
          <w:sz w:val="20"/>
          <w:szCs w:val="20"/>
        </w:rPr>
        <w:t>.</w:t>
      </w:r>
      <w:r>
        <w:rPr>
          <w:rFonts w:cs="Arial"/>
          <w:bCs/>
          <w:iCs/>
          <w:sz w:val="20"/>
          <w:szCs w:val="20"/>
        </w:rPr>
        <w:t xml:space="preserve"> </w:t>
      </w:r>
    </w:p>
    <w:p w14:paraId="1F698A03" w14:textId="5BD0B323" w:rsidR="002E750D" w:rsidRPr="002E750D" w:rsidRDefault="002E750D" w:rsidP="002E750D">
      <w:pPr>
        <w:pStyle w:val="Paragraph"/>
        <w:numPr>
          <w:ilvl w:val="0"/>
          <w:numId w:val="0"/>
        </w:numPr>
        <w:spacing w:before="120"/>
        <w:jc w:val="both"/>
        <w:rPr>
          <w:rFonts w:cs="Arial"/>
          <w:bCs/>
          <w:i/>
          <w:sz w:val="20"/>
          <w:szCs w:val="20"/>
        </w:rPr>
      </w:pPr>
      <w:r>
        <w:rPr>
          <w:rFonts w:cs="Arial"/>
          <w:bCs/>
          <w:iCs/>
          <w:sz w:val="20"/>
          <w:szCs w:val="20"/>
        </w:rPr>
        <w:t>Therefore I will refer the</w:t>
      </w:r>
      <w:r w:rsidR="008273F3">
        <w:rPr>
          <w:rFonts w:cs="Arial"/>
          <w:bCs/>
          <w:iCs/>
          <w:sz w:val="20"/>
          <w:szCs w:val="20"/>
        </w:rPr>
        <w:t xml:space="preserve"> combined</w:t>
      </w:r>
      <w:r>
        <w:rPr>
          <w:rFonts w:cs="Arial"/>
          <w:bCs/>
          <w:iCs/>
          <w:sz w:val="20"/>
          <w:szCs w:val="20"/>
        </w:rPr>
        <w:t xml:space="preserve"> point as</w:t>
      </w:r>
      <w:r w:rsidR="008273F3">
        <w:rPr>
          <w:rFonts w:cs="Arial"/>
          <w:bCs/>
          <w:iCs/>
          <w:sz w:val="20"/>
          <w:szCs w:val="20"/>
        </w:rPr>
        <w:t>:</w:t>
      </w:r>
      <w:r>
        <w:rPr>
          <w:rFonts w:cs="Arial"/>
          <w:bCs/>
          <w:iCs/>
          <w:sz w:val="20"/>
          <w:szCs w:val="20"/>
        </w:rPr>
        <w:t xml:space="preserve"> “</w:t>
      </w:r>
      <w:r w:rsidRPr="002E750D">
        <w:rPr>
          <w:rFonts w:cs="Arial"/>
          <w:bCs/>
          <w:i/>
          <w:sz w:val="20"/>
          <w:szCs w:val="20"/>
        </w:rPr>
        <w:t>whether the Committee unfairly:</w:t>
      </w:r>
    </w:p>
    <w:p w14:paraId="2EE0609E" w14:textId="55B59CE7" w:rsidR="002E750D" w:rsidRPr="002E750D" w:rsidRDefault="002E750D" w:rsidP="002E750D">
      <w:pPr>
        <w:pStyle w:val="Paragraph"/>
        <w:numPr>
          <w:ilvl w:val="1"/>
          <w:numId w:val="12"/>
        </w:numPr>
        <w:spacing w:before="120"/>
        <w:ind w:left="1134" w:hanging="567"/>
        <w:jc w:val="both"/>
        <w:rPr>
          <w:rFonts w:cs="Arial"/>
          <w:bCs/>
          <w:i/>
          <w:sz w:val="20"/>
          <w:szCs w:val="20"/>
        </w:rPr>
      </w:pPr>
      <w:r w:rsidRPr="002E750D">
        <w:rPr>
          <w:rFonts w:cs="Arial"/>
          <w:bCs/>
          <w:i/>
          <w:sz w:val="20"/>
          <w:szCs w:val="20"/>
        </w:rPr>
        <w:lastRenderedPageBreak/>
        <w:t xml:space="preserve">failed to take adequate </w:t>
      </w:r>
      <w:r w:rsidRPr="00B94AF6">
        <w:rPr>
          <w:rFonts w:cs="Arial"/>
          <w:bCs/>
          <w:i/>
          <w:sz w:val="20"/>
          <w:szCs w:val="20"/>
        </w:rPr>
        <w:t xml:space="preserve">steps to identify </w:t>
      </w:r>
      <w:r w:rsidRPr="00B94AF6">
        <w:rPr>
          <w:rFonts w:cs="Arial"/>
          <w:bCs/>
          <w:i/>
          <w:sz w:val="20"/>
          <w:szCs w:val="20"/>
          <w:u w:val="single"/>
        </w:rPr>
        <w:t>relevant evidence</w:t>
      </w:r>
    </w:p>
    <w:p w14:paraId="4F8B6057" w14:textId="77777777" w:rsidR="002E750D" w:rsidRPr="002E750D" w:rsidRDefault="002E750D" w:rsidP="002E750D">
      <w:pPr>
        <w:pStyle w:val="Paragraph"/>
        <w:numPr>
          <w:ilvl w:val="1"/>
          <w:numId w:val="12"/>
        </w:numPr>
        <w:spacing w:before="120"/>
        <w:ind w:left="1134" w:hanging="567"/>
        <w:jc w:val="both"/>
        <w:rPr>
          <w:rFonts w:cs="Arial"/>
          <w:bCs/>
          <w:i/>
          <w:sz w:val="20"/>
          <w:szCs w:val="20"/>
        </w:rPr>
      </w:pPr>
      <w:r w:rsidRPr="002E750D">
        <w:rPr>
          <w:rFonts w:cs="Arial"/>
          <w:bCs/>
          <w:i/>
          <w:sz w:val="20"/>
          <w:szCs w:val="20"/>
        </w:rPr>
        <w:t>failed to consider relevant RWE about molnupiravir, particularly given its recognition of the “significant limitations” of the clinical evidence used in the appraisal and resulting uncertainty and the alleged particular relevance of the RWE that MSD presented, and/or</w:t>
      </w:r>
    </w:p>
    <w:p w14:paraId="4573DD3B" w14:textId="256E9F38" w:rsidR="002E750D" w:rsidRPr="002E750D" w:rsidRDefault="002E750D" w:rsidP="002E750D">
      <w:pPr>
        <w:pStyle w:val="Paragraph"/>
        <w:numPr>
          <w:ilvl w:val="1"/>
          <w:numId w:val="12"/>
        </w:numPr>
        <w:spacing w:before="120"/>
        <w:ind w:left="1134" w:hanging="567"/>
        <w:jc w:val="both"/>
        <w:rPr>
          <w:rFonts w:cs="Arial"/>
          <w:bCs/>
          <w:i/>
          <w:sz w:val="20"/>
          <w:szCs w:val="20"/>
        </w:rPr>
      </w:pPr>
      <w:r w:rsidRPr="002E750D">
        <w:rPr>
          <w:rFonts w:cs="Arial"/>
          <w:bCs/>
          <w:i/>
          <w:sz w:val="20"/>
          <w:szCs w:val="20"/>
        </w:rPr>
        <w:t>treated RWE inconsistently.</w:t>
      </w:r>
      <w:r w:rsidR="008273F3" w:rsidRPr="008273F3">
        <w:rPr>
          <w:rFonts w:cs="Arial"/>
          <w:bCs/>
          <w:iCs/>
          <w:sz w:val="20"/>
          <w:szCs w:val="20"/>
        </w:rPr>
        <w:t>”</w:t>
      </w:r>
    </w:p>
    <w:p w14:paraId="5587A774" w14:textId="51544627" w:rsidR="009E3A9D" w:rsidRPr="009E3A9D" w:rsidRDefault="009E3A9D" w:rsidP="00DB178D">
      <w:pPr>
        <w:pStyle w:val="Paragraph"/>
        <w:numPr>
          <w:ilvl w:val="0"/>
          <w:numId w:val="0"/>
        </w:numPr>
        <w:spacing w:before="120"/>
        <w:jc w:val="both"/>
        <w:rPr>
          <w:rFonts w:cs="Arial"/>
          <w:b/>
          <w:iCs/>
          <w:sz w:val="20"/>
          <w:szCs w:val="20"/>
          <w:u w:val="single"/>
        </w:rPr>
      </w:pPr>
      <w:r w:rsidRPr="009E3A9D">
        <w:rPr>
          <w:rFonts w:cs="Arial"/>
          <w:b/>
          <w:iCs/>
          <w:sz w:val="20"/>
          <w:szCs w:val="20"/>
          <w:u w:val="single"/>
        </w:rPr>
        <w:t>Appeal point 1a.5; The Appraisal Committee’s over-reliance on the PANORAMIC data to estimate the treatment benefit of molnupiravir and its approach to evidence synthesis were procedurally unfair</w:t>
      </w:r>
    </w:p>
    <w:p w14:paraId="0E2BD444" w14:textId="40D1BBAB" w:rsidR="009E3A9D" w:rsidRDefault="009E3A9D" w:rsidP="009E3A9D">
      <w:pPr>
        <w:spacing w:before="120" w:after="240"/>
        <w:rPr>
          <w:rFonts w:ascii="Arial" w:eastAsia="Times New Roman" w:hAnsi="Arial" w:cs="Arial"/>
          <w:color w:val="0D0D0D" w:themeColor="text1" w:themeTint="F2"/>
          <w:sz w:val="20"/>
          <w:szCs w:val="20"/>
          <w:lang w:eastAsia="en-GB"/>
        </w:rPr>
      </w:pPr>
      <w:bookmarkStart w:id="0" w:name="_Hlk131072750"/>
      <w:r w:rsidRPr="00EC3D3C">
        <w:rPr>
          <w:rFonts w:ascii="Arial" w:eastAsia="Times New Roman" w:hAnsi="Arial" w:cs="Arial"/>
          <w:color w:val="0D0D0D" w:themeColor="text1" w:themeTint="F2"/>
          <w:sz w:val="20"/>
          <w:szCs w:val="20"/>
          <w:lang w:eastAsia="en-GB"/>
        </w:rPr>
        <w:t xml:space="preserve">Having considered the additional arguments made in your letter </w:t>
      </w:r>
      <w:r w:rsidR="00B94AF6" w:rsidRPr="00EC3D3C">
        <w:rPr>
          <w:rFonts w:ascii="Arial" w:eastAsia="Times New Roman" w:hAnsi="Arial" w:cs="Arial"/>
          <w:color w:val="0D0D0D" w:themeColor="text1" w:themeTint="F2"/>
          <w:sz w:val="20"/>
          <w:szCs w:val="20"/>
          <w:lang w:eastAsia="en-GB"/>
        </w:rPr>
        <w:t>of 27 March</w:t>
      </w:r>
      <w:r w:rsidRPr="00EC3D3C">
        <w:rPr>
          <w:rFonts w:ascii="Arial" w:eastAsia="Times New Roman" w:hAnsi="Arial" w:cs="Arial"/>
          <w:color w:val="0D0D0D" w:themeColor="text1" w:themeTint="F2"/>
          <w:sz w:val="20"/>
          <w:szCs w:val="20"/>
          <w:lang w:eastAsia="en-GB"/>
        </w:rPr>
        <w:t>, I agree that this is a valid appeal point</w:t>
      </w:r>
      <w:r w:rsidR="00B94AF6" w:rsidRPr="00EC3D3C">
        <w:rPr>
          <w:rFonts w:ascii="Arial" w:eastAsia="Times New Roman" w:hAnsi="Arial" w:cs="Arial"/>
          <w:color w:val="0D0D0D" w:themeColor="text1" w:themeTint="F2"/>
          <w:sz w:val="20"/>
          <w:szCs w:val="20"/>
          <w:lang w:eastAsia="en-GB"/>
        </w:rPr>
        <w:t xml:space="preserve"> under Ground 2 (unreasonableness)</w:t>
      </w:r>
      <w:r w:rsidRPr="00EC3D3C">
        <w:rPr>
          <w:rFonts w:ascii="Arial" w:eastAsia="Times New Roman" w:hAnsi="Arial" w:cs="Arial"/>
          <w:color w:val="0D0D0D" w:themeColor="text1" w:themeTint="F2"/>
          <w:sz w:val="20"/>
          <w:szCs w:val="20"/>
          <w:lang w:eastAsia="en-GB"/>
        </w:rPr>
        <w:t xml:space="preserve">. </w:t>
      </w:r>
      <w:r w:rsidR="00B94AF6">
        <w:rPr>
          <w:rFonts w:ascii="Arial" w:eastAsia="Times New Roman" w:hAnsi="Arial" w:cs="Arial"/>
          <w:color w:val="0D0D0D" w:themeColor="text1" w:themeTint="F2"/>
          <w:sz w:val="20"/>
          <w:szCs w:val="20"/>
          <w:lang w:eastAsia="en-GB"/>
        </w:rPr>
        <w:t xml:space="preserve">  </w:t>
      </w:r>
      <w:r w:rsidR="00EC3D3C">
        <w:rPr>
          <w:rFonts w:ascii="Arial" w:eastAsia="Times New Roman" w:hAnsi="Arial" w:cs="Arial"/>
          <w:color w:val="0D0D0D" w:themeColor="text1" w:themeTint="F2"/>
          <w:sz w:val="20"/>
          <w:szCs w:val="20"/>
          <w:lang w:eastAsia="en-GB"/>
        </w:rPr>
        <w:t xml:space="preserve">This is because there is a valid argument as to whether the </w:t>
      </w:r>
      <w:r w:rsidR="00007370">
        <w:rPr>
          <w:rFonts w:ascii="Arial" w:eastAsia="Times New Roman" w:hAnsi="Arial" w:cs="Arial"/>
          <w:color w:val="0D0D0D" w:themeColor="text1" w:themeTint="F2"/>
          <w:sz w:val="20"/>
          <w:szCs w:val="20"/>
          <w:lang w:eastAsia="en-GB"/>
        </w:rPr>
        <w:t>conclusions drawn from</w:t>
      </w:r>
      <w:r w:rsidR="00EC3D3C">
        <w:rPr>
          <w:rFonts w:ascii="Arial" w:eastAsia="Times New Roman" w:hAnsi="Arial" w:cs="Arial"/>
          <w:color w:val="0D0D0D" w:themeColor="text1" w:themeTint="F2"/>
          <w:sz w:val="20"/>
          <w:szCs w:val="20"/>
          <w:lang w:eastAsia="en-GB"/>
        </w:rPr>
        <w:t xml:space="preserve"> the PANORAMIC data w</w:t>
      </w:r>
      <w:r w:rsidR="00007370">
        <w:rPr>
          <w:rFonts w:ascii="Arial" w:eastAsia="Times New Roman" w:hAnsi="Arial" w:cs="Arial"/>
          <w:color w:val="0D0D0D" w:themeColor="text1" w:themeTint="F2"/>
          <w:sz w:val="20"/>
          <w:szCs w:val="20"/>
          <w:lang w:eastAsia="en-GB"/>
        </w:rPr>
        <w:t>ere</w:t>
      </w:r>
      <w:r w:rsidR="00EC3D3C">
        <w:rPr>
          <w:rFonts w:ascii="Arial" w:eastAsia="Times New Roman" w:hAnsi="Arial" w:cs="Arial"/>
          <w:color w:val="0D0D0D" w:themeColor="text1" w:themeTint="F2"/>
          <w:sz w:val="20"/>
          <w:szCs w:val="20"/>
          <w:lang w:eastAsia="en-GB"/>
        </w:rPr>
        <w:t xml:space="preserve"> unreasonable taking into account the known limitations of the data and the weight that was applied to this data set.</w:t>
      </w:r>
    </w:p>
    <w:p w14:paraId="31BB6773" w14:textId="7E117320" w:rsidR="00EC3D3C" w:rsidRDefault="00EC3D3C" w:rsidP="009E3A9D">
      <w:pPr>
        <w:spacing w:before="120" w:after="240"/>
        <w:rPr>
          <w:rFonts w:ascii="Arial" w:eastAsia="Times New Roman" w:hAnsi="Arial" w:cs="Arial"/>
          <w:color w:val="0D0D0D" w:themeColor="text1" w:themeTint="F2"/>
          <w:sz w:val="20"/>
          <w:szCs w:val="20"/>
          <w:lang w:eastAsia="en-GB"/>
        </w:rPr>
      </w:pPr>
      <w:r>
        <w:rPr>
          <w:rFonts w:ascii="Arial" w:eastAsia="Times New Roman" w:hAnsi="Arial" w:cs="Arial"/>
          <w:color w:val="0D0D0D" w:themeColor="text1" w:themeTint="F2"/>
          <w:sz w:val="20"/>
          <w:szCs w:val="20"/>
          <w:lang w:eastAsia="en-GB"/>
        </w:rPr>
        <w:t>I will refer the point under Ground 2</w:t>
      </w:r>
      <w:r w:rsidR="00007370">
        <w:rPr>
          <w:rFonts w:ascii="Arial" w:eastAsia="Times New Roman" w:hAnsi="Arial" w:cs="Arial"/>
          <w:color w:val="0D0D0D" w:themeColor="text1" w:themeTint="F2"/>
          <w:sz w:val="20"/>
          <w:szCs w:val="20"/>
          <w:lang w:eastAsia="en-GB"/>
        </w:rPr>
        <w:t>, and anticipate that the Appeal Panel will want to consider your arguments that</w:t>
      </w:r>
      <w:r>
        <w:rPr>
          <w:rFonts w:ascii="Arial" w:eastAsia="Times New Roman" w:hAnsi="Arial" w:cs="Arial"/>
          <w:color w:val="0D0D0D" w:themeColor="text1" w:themeTint="F2"/>
          <w:sz w:val="20"/>
          <w:szCs w:val="20"/>
          <w:lang w:eastAsia="en-GB"/>
        </w:rPr>
        <w:t>:</w:t>
      </w:r>
    </w:p>
    <w:p w14:paraId="56151105" w14:textId="70E219D0" w:rsidR="00EC3D3C" w:rsidRPr="00EC3D3C" w:rsidRDefault="00EC3D3C" w:rsidP="00EC3D3C">
      <w:pPr>
        <w:pStyle w:val="ListParagraph"/>
        <w:numPr>
          <w:ilvl w:val="0"/>
          <w:numId w:val="20"/>
        </w:numPr>
        <w:spacing w:before="120" w:after="240"/>
        <w:rPr>
          <w:rFonts w:cs="Arial"/>
          <w:i/>
          <w:iCs/>
          <w:color w:val="0D0D0D" w:themeColor="text1" w:themeTint="F2"/>
          <w:lang w:eastAsia="en-GB"/>
        </w:rPr>
      </w:pPr>
      <w:r w:rsidRPr="00EC3D3C">
        <w:rPr>
          <w:rFonts w:cs="Arial"/>
          <w:i/>
          <w:iCs/>
          <w:color w:val="0D0D0D" w:themeColor="text1" w:themeTint="F2"/>
          <w:lang w:eastAsia="en-GB"/>
        </w:rPr>
        <w:t>The PANORAMIC study data had clear limitations in their relevance and generalisability, so making comparisons between, and synthesising, PANORAMIC data with data from other randomised-controlled trials considered in the appraisal was unsound.</w:t>
      </w:r>
    </w:p>
    <w:p w14:paraId="07563C35" w14:textId="590613B9" w:rsidR="00EC3D3C" w:rsidRPr="00EC3D3C" w:rsidRDefault="00EC3D3C" w:rsidP="00EC3D3C">
      <w:pPr>
        <w:pStyle w:val="ListParagraph"/>
        <w:numPr>
          <w:ilvl w:val="0"/>
          <w:numId w:val="20"/>
        </w:numPr>
        <w:spacing w:before="120" w:after="240"/>
        <w:rPr>
          <w:rFonts w:cs="Arial"/>
          <w:i/>
          <w:iCs/>
          <w:color w:val="0D0D0D" w:themeColor="text1" w:themeTint="F2"/>
          <w:lang w:eastAsia="en-GB"/>
        </w:rPr>
      </w:pPr>
      <w:r w:rsidRPr="00EC3D3C">
        <w:rPr>
          <w:rFonts w:cs="Arial"/>
          <w:i/>
          <w:iCs/>
          <w:color w:val="0D0D0D" w:themeColor="text1" w:themeTint="F2"/>
          <w:lang w:eastAsia="en-GB"/>
        </w:rPr>
        <w:t>The Appraisal Committee itself acknowledged the limitations of the PANORAMIC study in its FDG.</w:t>
      </w:r>
    </w:p>
    <w:p w14:paraId="498D2E0D" w14:textId="2AD321CF" w:rsidR="00EC3D3C" w:rsidRPr="00EC3D3C" w:rsidRDefault="00EC3D3C" w:rsidP="00EC3D3C">
      <w:pPr>
        <w:pStyle w:val="ListParagraph"/>
        <w:numPr>
          <w:ilvl w:val="0"/>
          <w:numId w:val="20"/>
        </w:numPr>
        <w:spacing w:before="120" w:after="240"/>
        <w:rPr>
          <w:rFonts w:cs="Arial"/>
          <w:i/>
          <w:iCs/>
          <w:color w:val="0D0D0D" w:themeColor="text1" w:themeTint="F2"/>
          <w:lang w:eastAsia="en-GB"/>
        </w:rPr>
      </w:pPr>
      <w:r w:rsidRPr="00EC3D3C">
        <w:rPr>
          <w:rFonts w:cs="Arial"/>
          <w:i/>
          <w:iCs/>
          <w:color w:val="0D0D0D" w:themeColor="text1" w:themeTint="F2"/>
          <w:lang w:eastAsia="en-GB"/>
        </w:rPr>
        <w:t>Despite its awareness and acknowledgment of the lack of generalisability and limited relevance of the PANORAMIC data, the Appraisal Committee used these in a flawed evidence synthesis process and invested the results of such with unduly significant weight in its ultimate decision not to recommend molnupiravir.</w:t>
      </w:r>
    </w:p>
    <w:p w14:paraId="6FFAB00A" w14:textId="3E0F23AA" w:rsidR="00EC3D3C" w:rsidRPr="00EC3D3C" w:rsidRDefault="00EC3D3C" w:rsidP="00EC3D3C">
      <w:pPr>
        <w:pStyle w:val="ListParagraph"/>
        <w:numPr>
          <w:ilvl w:val="0"/>
          <w:numId w:val="20"/>
        </w:numPr>
        <w:spacing w:before="120" w:after="240"/>
        <w:rPr>
          <w:rFonts w:cs="Arial"/>
          <w:i/>
          <w:iCs/>
          <w:color w:val="0D0D0D" w:themeColor="text1" w:themeTint="F2"/>
          <w:lang w:eastAsia="en-GB"/>
        </w:rPr>
      </w:pPr>
      <w:r w:rsidRPr="00EC3D3C">
        <w:rPr>
          <w:rFonts w:cs="Arial"/>
          <w:i/>
          <w:iCs/>
          <w:color w:val="0D0D0D" w:themeColor="text1" w:themeTint="F2"/>
          <w:lang w:eastAsia="en-GB"/>
        </w:rPr>
        <w:t>In light of the clear deficiencies in the evidence synthesis process using the PANORAMIC study that were presented to and acknowledged by the Appraisal Committee, its influential conclusions developed on such shaky foundations cannot reasonably be justified.</w:t>
      </w:r>
    </w:p>
    <w:bookmarkEnd w:id="0"/>
    <w:p w14:paraId="62E5545A" w14:textId="27289919" w:rsidR="00A412E1" w:rsidRPr="00A412E1" w:rsidRDefault="00A412E1" w:rsidP="00A412E1">
      <w:pPr>
        <w:pStyle w:val="Paragraph"/>
        <w:numPr>
          <w:ilvl w:val="0"/>
          <w:numId w:val="0"/>
        </w:numPr>
        <w:spacing w:before="120"/>
        <w:jc w:val="both"/>
        <w:rPr>
          <w:rFonts w:cs="Arial"/>
          <w:b/>
          <w:iCs/>
          <w:sz w:val="20"/>
          <w:szCs w:val="20"/>
          <w:u w:val="single"/>
        </w:rPr>
      </w:pPr>
      <w:r w:rsidRPr="00A412E1">
        <w:rPr>
          <w:rFonts w:cs="Arial"/>
          <w:b/>
          <w:iCs/>
          <w:sz w:val="20"/>
          <w:szCs w:val="20"/>
          <w:u w:val="single"/>
        </w:rPr>
        <w:t>Appeal point 1a.6</w:t>
      </w:r>
      <w:r w:rsidRPr="00A412E1">
        <w:rPr>
          <w:u w:val="single"/>
        </w:rPr>
        <w:t xml:space="preserve"> </w:t>
      </w:r>
      <w:r w:rsidRPr="00A412E1">
        <w:rPr>
          <w:rFonts w:cs="Arial"/>
          <w:b/>
          <w:iCs/>
          <w:sz w:val="20"/>
          <w:szCs w:val="20"/>
          <w:u w:val="single"/>
        </w:rPr>
        <w:t>The Appraisal Committee’s blanket capping of the efficacy levels of all treatments, without due consideration of each individual case, resulted in considerable bias and unfairness against molnupiravir</w:t>
      </w:r>
    </w:p>
    <w:p w14:paraId="728F435B" w14:textId="23D1D69A" w:rsidR="005D15CA" w:rsidRPr="00A412E1" w:rsidRDefault="00A412E1" w:rsidP="00A412E1">
      <w:pPr>
        <w:pStyle w:val="Paragraph"/>
        <w:numPr>
          <w:ilvl w:val="0"/>
          <w:numId w:val="0"/>
        </w:numPr>
        <w:spacing w:before="120"/>
        <w:jc w:val="both"/>
        <w:rPr>
          <w:rFonts w:cs="Arial"/>
          <w:bCs/>
          <w:iCs/>
          <w:sz w:val="20"/>
          <w:szCs w:val="20"/>
        </w:rPr>
      </w:pPr>
      <w:r w:rsidRPr="00A412E1">
        <w:rPr>
          <w:rFonts w:cs="Arial"/>
          <w:bCs/>
          <w:iCs/>
          <w:sz w:val="20"/>
          <w:szCs w:val="20"/>
        </w:rPr>
        <w:t xml:space="preserve">Thank you for confirming </w:t>
      </w:r>
      <w:r w:rsidR="002D1800">
        <w:rPr>
          <w:rFonts w:cs="Arial"/>
          <w:bCs/>
          <w:iCs/>
          <w:sz w:val="20"/>
          <w:szCs w:val="20"/>
        </w:rPr>
        <w:t xml:space="preserve">that </w:t>
      </w:r>
      <w:r w:rsidRPr="00A412E1">
        <w:rPr>
          <w:rFonts w:cs="Arial"/>
          <w:bCs/>
          <w:iCs/>
          <w:sz w:val="20"/>
          <w:szCs w:val="20"/>
        </w:rPr>
        <w:t>MSD accept</w:t>
      </w:r>
      <w:r w:rsidR="002D1800">
        <w:rPr>
          <w:rFonts w:cs="Arial"/>
          <w:bCs/>
          <w:iCs/>
          <w:sz w:val="20"/>
          <w:szCs w:val="20"/>
        </w:rPr>
        <w:t>s</w:t>
      </w:r>
      <w:r w:rsidRPr="00A412E1">
        <w:rPr>
          <w:rFonts w:cs="Arial"/>
          <w:bCs/>
          <w:iCs/>
          <w:sz w:val="20"/>
          <w:szCs w:val="20"/>
        </w:rPr>
        <w:t xml:space="preserve"> my admitting this appeal point under Ground 2.</w:t>
      </w:r>
      <w:r>
        <w:rPr>
          <w:rFonts w:cs="Arial"/>
          <w:bCs/>
          <w:iCs/>
          <w:sz w:val="20"/>
          <w:szCs w:val="20"/>
        </w:rPr>
        <w:t xml:space="preserve"> </w:t>
      </w:r>
    </w:p>
    <w:p w14:paraId="4919BF19" w14:textId="0C9ADEA0" w:rsidR="00A3136F" w:rsidRPr="00A3136F" w:rsidRDefault="00A3136F" w:rsidP="00DB178D">
      <w:pPr>
        <w:pStyle w:val="Paragraph"/>
        <w:numPr>
          <w:ilvl w:val="0"/>
          <w:numId w:val="0"/>
        </w:numPr>
        <w:spacing w:before="120"/>
        <w:jc w:val="both"/>
        <w:rPr>
          <w:rFonts w:cs="Arial"/>
          <w:b/>
          <w:iCs/>
          <w:sz w:val="20"/>
          <w:szCs w:val="20"/>
          <w:u w:val="single"/>
        </w:rPr>
      </w:pPr>
      <w:r w:rsidRPr="00A3136F">
        <w:rPr>
          <w:rFonts w:cs="Arial"/>
          <w:b/>
          <w:iCs/>
          <w:sz w:val="20"/>
          <w:szCs w:val="20"/>
          <w:u w:val="single"/>
        </w:rPr>
        <w:t>Appeal point 1a.7; NICE unduly focused on mortality and hospitalisation rates to assess clinical benefit rates and failed to give due consideration to other outcome measures, thereby creating bias against molnupiravir.</w:t>
      </w:r>
    </w:p>
    <w:p w14:paraId="55D2CCD4" w14:textId="141556FE" w:rsidR="0031768F" w:rsidRDefault="00BA5427" w:rsidP="00DB178D">
      <w:pPr>
        <w:pStyle w:val="Paragraph"/>
        <w:numPr>
          <w:ilvl w:val="0"/>
          <w:numId w:val="0"/>
        </w:numPr>
        <w:spacing w:before="120"/>
        <w:jc w:val="both"/>
        <w:rPr>
          <w:sz w:val="20"/>
          <w:szCs w:val="20"/>
        </w:rPr>
      </w:pPr>
      <w:r>
        <w:rPr>
          <w:rFonts w:cs="Arial"/>
          <w:sz w:val="20"/>
          <w:szCs w:val="20"/>
        </w:rPr>
        <w:t xml:space="preserve">In my initial scrutiny letter I explained I was </w:t>
      </w:r>
      <w:r w:rsidRPr="00993056">
        <w:rPr>
          <w:rFonts w:cs="Arial"/>
          <w:sz w:val="20"/>
          <w:szCs w:val="20"/>
        </w:rPr>
        <w:t xml:space="preserve">minded to refer this point </w:t>
      </w:r>
      <w:proofErr w:type="spellStart"/>
      <w:r w:rsidR="00052930">
        <w:rPr>
          <w:rFonts w:cs="Arial"/>
          <w:sz w:val="20"/>
          <w:szCs w:val="20"/>
        </w:rPr>
        <w:t>under ground</w:t>
      </w:r>
      <w:proofErr w:type="spellEnd"/>
      <w:r w:rsidR="00052930">
        <w:rPr>
          <w:rFonts w:cs="Arial"/>
          <w:sz w:val="20"/>
          <w:szCs w:val="20"/>
        </w:rPr>
        <w:t xml:space="preserve"> 1a </w:t>
      </w:r>
      <w:r w:rsidRPr="00993056">
        <w:rPr>
          <w:rFonts w:cs="Arial"/>
          <w:sz w:val="20"/>
          <w:szCs w:val="20"/>
        </w:rPr>
        <w:t xml:space="preserve">on </w:t>
      </w:r>
      <w:r w:rsidRPr="00BA5427">
        <w:rPr>
          <w:rFonts w:cs="Arial"/>
          <w:sz w:val="20"/>
          <w:szCs w:val="20"/>
        </w:rPr>
        <w:t>the limited basis that it is arguably procedurally unfair that the appraisal departed from the final scope by omitting virological outcomes from the consideration of outcome measures</w:t>
      </w:r>
      <w:r w:rsidR="00052930">
        <w:rPr>
          <w:rFonts w:cs="Arial"/>
          <w:sz w:val="20"/>
          <w:szCs w:val="20"/>
        </w:rPr>
        <w:t>; but that I was also minded to refer</w:t>
      </w:r>
      <w:r w:rsidR="00A322F0">
        <w:rPr>
          <w:sz w:val="20"/>
          <w:szCs w:val="20"/>
        </w:rPr>
        <w:t xml:space="preserve"> </w:t>
      </w:r>
      <w:r>
        <w:rPr>
          <w:sz w:val="20"/>
          <w:szCs w:val="20"/>
        </w:rPr>
        <w:t xml:space="preserve">your argument </w:t>
      </w:r>
      <w:r w:rsidR="00A322F0">
        <w:rPr>
          <w:sz w:val="20"/>
          <w:szCs w:val="20"/>
        </w:rPr>
        <w:t xml:space="preserve">(originally </w:t>
      </w:r>
      <w:r>
        <w:rPr>
          <w:sz w:val="20"/>
          <w:szCs w:val="20"/>
        </w:rPr>
        <w:t>under point 1a.7(2)</w:t>
      </w:r>
      <w:r w:rsidR="00A322F0">
        <w:rPr>
          <w:sz w:val="20"/>
          <w:szCs w:val="20"/>
        </w:rPr>
        <w:t xml:space="preserve">, that </w:t>
      </w:r>
      <w:r>
        <w:rPr>
          <w:sz w:val="20"/>
          <w:szCs w:val="20"/>
        </w:rPr>
        <w:t>“</w:t>
      </w:r>
      <w:r>
        <w:rPr>
          <w:i/>
          <w:iCs/>
          <w:sz w:val="20"/>
          <w:szCs w:val="20"/>
        </w:rPr>
        <w:t>The true benefits of molnupiravir were inadequately assessed in the MTA and omitted from the EAG’s economic model</w:t>
      </w:r>
      <w:r>
        <w:rPr>
          <w:sz w:val="20"/>
          <w:szCs w:val="20"/>
        </w:rPr>
        <w:t xml:space="preserve">”) </w:t>
      </w:r>
      <w:proofErr w:type="spellStart"/>
      <w:r w:rsidR="00052930">
        <w:rPr>
          <w:sz w:val="20"/>
          <w:szCs w:val="20"/>
        </w:rPr>
        <w:t>under</w:t>
      </w:r>
      <w:r>
        <w:rPr>
          <w:sz w:val="20"/>
          <w:szCs w:val="20"/>
        </w:rPr>
        <w:t xml:space="preserve"> </w:t>
      </w:r>
      <w:r w:rsidR="00A322F0">
        <w:rPr>
          <w:sz w:val="20"/>
          <w:szCs w:val="20"/>
        </w:rPr>
        <w:t>g</w:t>
      </w:r>
      <w:r>
        <w:rPr>
          <w:sz w:val="20"/>
          <w:szCs w:val="20"/>
        </w:rPr>
        <w:t>round</w:t>
      </w:r>
      <w:proofErr w:type="spellEnd"/>
      <w:r>
        <w:rPr>
          <w:sz w:val="20"/>
          <w:szCs w:val="20"/>
        </w:rPr>
        <w:t xml:space="preserve"> 2</w:t>
      </w:r>
      <w:r w:rsidR="00A322F0">
        <w:rPr>
          <w:rFonts w:cs="Arial"/>
          <w:sz w:val="20"/>
          <w:szCs w:val="20"/>
        </w:rPr>
        <w:t xml:space="preserve">. </w:t>
      </w:r>
    </w:p>
    <w:p w14:paraId="45B4D912" w14:textId="2FA4DC29" w:rsidR="00BA5427" w:rsidRPr="00993056" w:rsidRDefault="00B324F6" w:rsidP="00BA5427">
      <w:pPr>
        <w:pStyle w:val="Paragraph"/>
        <w:numPr>
          <w:ilvl w:val="0"/>
          <w:numId w:val="0"/>
        </w:numPr>
        <w:spacing w:before="120"/>
        <w:jc w:val="both"/>
        <w:rPr>
          <w:rFonts w:cs="Arial"/>
          <w:b/>
          <w:iCs/>
          <w:sz w:val="20"/>
          <w:szCs w:val="20"/>
        </w:rPr>
      </w:pPr>
      <w:r>
        <w:rPr>
          <w:sz w:val="20"/>
          <w:szCs w:val="20"/>
        </w:rPr>
        <w:t>I</w:t>
      </w:r>
      <w:r w:rsidR="0031768F">
        <w:rPr>
          <w:sz w:val="20"/>
          <w:szCs w:val="20"/>
        </w:rPr>
        <w:t xml:space="preserve"> explained why I was not minded to refer the remainder of your arguments under this point.  </w:t>
      </w:r>
      <w:r w:rsidR="00BA5427">
        <w:rPr>
          <w:rFonts w:cs="Arial"/>
          <w:sz w:val="20"/>
          <w:szCs w:val="20"/>
        </w:rPr>
        <w:t xml:space="preserve">Your letter of 27 March 2023 </w:t>
      </w:r>
      <w:r w:rsidR="0031768F">
        <w:rPr>
          <w:rFonts w:cs="Arial"/>
          <w:sz w:val="20"/>
          <w:szCs w:val="20"/>
        </w:rPr>
        <w:t>explains why you disagree with that initial conclusion</w:t>
      </w:r>
      <w:r w:rsidR="00BA5427">
        <w:rPr>
          <w:rFonts w:cs="Arial"/>
          <w:sz w:val="20"/>
          <w:szCs w:val="20"/>
        </w:rPr>
        <w:t xml:space="preserve">. </w:t>
      </w:r>
    </w:p>
    <w:p w14:paraId="2777E886" w14:textId="31BBBBC5" w:rsidR="00A83F17" w:rsidRDefault="0031768F" w:rsidP="0031768F">
      <w:pPr>
        <w:pStyle w:val="Paragraph"/>
        <w:numPr>
          <w:ilvl w:val="0"/>
          <w:numId w:val="0"/>
        </w:numPr>
        <w:jc w:val="both"/>
        <w:rPr>
          <w:rFonts w:cs="Arial"/>
          <w:sz w:val="20"/>
          <w:szCs w:val="20"/>
        </w:rPr>
      </w:pPr>
      <w:r w:rsidRPr="00A83F17">
        <w:rPr>
          <w:rFonts w:cs="Arial"/>
          <w:sz w:val="20"/>
          <w:szCs w:val="20"/>
        </w:rPr>
        <w:lastRenderedPageBreak/>
        <w:t>Having considered the additional arguments made</w:t>
      </w:r>
      <w:r w:rsidR="00A322F0" w:rsidRPr="00A83F17">
        <w:rPr>
          <w:rFonts w:cs="Arial"/>
          <w:sz w:val="20"/>
          <w:szCs w:val="20"/>
        </w:rPr>
        <w:t xml:space="preserve"> </w:t>
      </w:r>
      <w:r w:rsidRPr="00A83F17">
        <w:rPr>
          <w:rFonts w:cs="Arial"/>
          <w:sz w:val="20"/>
          <w:szCs w:val="20"/>
        </w:rPr>
        <w:t>in your letter of 27 March</w:t>
      </w:r>
      <w:r w:rsidR="00A83F17">
        <w:rPr>
          <w:rFonts w:cs="Arial"/>
          <w:sz w:val="20"/>
          <w:szCs w:val="20"/>
        </w:rPr>
        <w:t xml:space="preserve"> 2023</w:t>
      </w:r>
      <w:r w:rsidRPr="00A83F17">
        <w:rPr>
          <w:rFonts w:cs="Arial"/>
          <w:sz w:val="20"/>
          <w:szCs w:val="20"/>
        </w:rPr>
        <w:t>, I agree these are valid arguments within this point 1(a).</w:t>
      </w:r>
      <w:r w:rsidR="00E111C5">
        <w:rPr>
          <w:rFonts w:cs="Arial"/>
          <w:sz w:val="20"/>
          <w:szCs w:val="20"/>
        </w:rPr>
        <w:t>7</w:t>
      </w:r>
      <w:r w:rsidRPr="00A83F17">
        <w:rPr>
          <w:rFonts w:cs="Arial"/>
          <w:sz w:val="20"/>
          <w:szCs w:val="20"/>
        </w:rPr>
        <w:t xml:space="preserve">. </w:t>
      </w:r>
      <w:r w:rsidR="00EC3D3C" w:rsidRPr="00A83F17">
        <w:rPr>
          <w:rFonts w:cs="Arial"/>
          <w:sz w:val="20"/>
          <w:szCs w:val="20"/>
        </w:rPr>
        <w:t>I</w:t>
      </w:r>
      <w:r w:rsidR="00EC3D3C">
        <w:rPr>
          <w:rFonts w:cs="Arial"/>
          <w:sz w:val="20"/>
          <w:szCs w:val="20"/>
        </w:rPr>
        <w:t xml:space="preserve"> agree that there is a valid argument as to whether the </w:t>
      </w:r>
      <w:r w:rsidR="00052930">
        <w:rPr>
          <w:rFonts w:cs="Arial"/>
          <w:sz w:val="20"/>
          <w:szCs w:val="20"/>
        </w:rPr>
        <w:t>Committee focused exclusively on hospitalisation and mortality outcome measures, at the expense of a systematic assessment of other relevant outcome measures.</w:t>
      </w:r>
      <w:r w:rsidR="00A83F17">
        <w:rPr>
          <w:rFonts w:cs="Arial"/>
          <w:sz w:val="20"/>
          <w:szCs w:val="20"/>
        </w:rPr>
        <w:t xml:space="preserve">   </w:t>
      </w:r>
    </w:p>
    <w:p w14:paraId="422DCED7" w14:textId="6CBF6C95" w:rsidR="00A83F17" w:rsidRDefault="00052930" w:rsidP="0031768F">
      <w:pPr>
        <w:pStyle w:val="Paragraph"/>
        <w:numPr>
          <w:ilvl w:val="0"/>
          <w:numId w:val="0"/>
        </w:numPr>
        <w:jc w:val="both"/>
        <w:rPr>
          <w:rFonts w:cs="Arial"/>
          <w:sz w:val="20"/>
          <w:szCs w:val="20"/>
        </w:rPr>
      </w:pPr>
      <w:r>
        <w:rPr>
          <w:rFonts w:cs="Arial"/>
          <w:sz w:val="20"/>
          <w:szCs w:val="20"/>
        </w:rPr>
        <w:t xml:space="preserve">Having referred this point in full </w:t>
      </w:r>
      <w:proofErr w:type="spellStart"/>
      <w:r>
        <w:rPr>
          <w:rFonts w:cs="Arial"/>
          <w:sz w:val="20"/>
          <w:szCs w:val="20"/>
        </w:rPr>
        <w:t>under ground</w:t>
      </w:r>
      <w:proofErr w:type="spellEnd"/>
      <w:r>
        <w:rPr>
          <w:rFonts w:cs="Arial"/>
          <w:sz w:val="20"/>
          <w:szCs w:val="20"/>
        </w:rPr>
        <w:t xml:space="preserve"> 1</w:t>
      </w:r>
      <w:r w:rsidR="00E111C5">
        <w:rPr>
          <w:rFonts w:cs="Arial"/>
          <w:sz w:val="20"/>
          <w:szCs w:val="20"/>
        </w:rPr>
        <w:t>(</w:t>
      </w:r>
      <w:r>
        <w:rPr>
          <w:rFonts w:cs="Arial"/>
          <w:sz w:val="20"/>
          <w:szCs w:val="20"/>
        </w:rPr>
        <w:t>a</w:t>
      </w:r>
      <w:r w:rsidR="00E111C5">
        <w:rPr>
          <w:rFonts w:cs="Arial"/>
          <w:sz w:val="20"/>
          <w:szCs w:val="20"/>
        </w:rPr>
        <w:t>)</w:t>
      </w:r>
      <w:r>
        <w:rPr>
          <w:rFonts w:cs="Arial"/>
          <w:sz w:val="20"/>
          <w:szCs w:val="20"/>
        </w:rPr>
        <w:t xml:space="preserve">, I am satisfied that there is now no need for an additional referral </w:t>
      </w:r>
      <w:proofErr w:type="spellStart"/>
      <w:r>
        <w:rPr>
          <w:rFonts w:cs="Arial"/>
          <w:sz w:val="20"/>
          <w:szCs w:val="20"/>
        </w:rPr>
        <w:t>under ground</w:t>
      </w:r>
      <w:proofErr w:type="spellEnd"/>
      <w:r>
        <w:rPr>
          <w:rFonts w:cs="Arial"/>
          <w:sz w:val="20"/>
          <w:szCs w:val="20"/>
        </w:rPr>
        <w:t xml:space="preserve"> 2, in respect of this appeal point. </w:t>
      </w:r>
    </w:p>
    <w:p w14:paraId="1BE25AC9" w14:textId="61D8E10B" w:rsidR="00DB178D" w:rsidRDefault="00DB178D" w:rsidP="00DB178D">
      <w:pPr>
        <w:pStyle w:val="Paragraph"/>
        <w:numPr>
          <w:ilvl w:val="0"/>
          <w:numId w:val="0"/>
        </w:numPr>
        <w:spacing w:before="120"/>
        <w:jc w:val="both"/>
        <w:rPr>
          <w:rFonts w:cs="Arial"/>
          <w:b/>
          <w:i/>
          <w:sz w:val="20"/>
          <w:szCs w:val="20"/>
        </w:rPr>
      </w:pPr>
      <w:r w:rsidRPr="00DB178D">
        <w:rPr>
          <w:rFonts w:cs="Arial"/>
          <w:b/>
          <w:i/>
          <w:sz w:val="20"/>
          <w:szCs w:val="20"/>
        </w:rPr>
        <w:t>Ground 1(b): In making the assessment that preceded the recommendation, NICE has exceeded its powers</w:t>
      </w:r>
    </w:p>
    <w:p w14:paraId="5EBCC60D" w14:textId="4EC4F0FD" w:rsidR="00DB178D" w:rsidRDefault="00DB178D" w:rsidP="00DB178D">
      <w:pPr>
        <w:pStyle w:val="Paragraph"/>
        <w:numPr>
          <w:ilvl w:val="0"/>
          <w:numId w:val="0"/>
        </w:numPr>
        <w:spacing w:before="120"/>
        <w:jc w:val="both"/>
        <w:rPr>
          <w:rFonts w:cs="Arial"/>
          <w:b/>
          <w:sz w:val="20"/>
          <w:szCs w:val="20"/>
          <w:u w:val="single"/>
        </w:rPr>
      </w:pPr>
      <w:r w:rsidRPr="0043022B">
        <w:rPr>
          <w:rFonts w:cs="Arial"/>
          <w:b/>
          <w:sz w:val="20"/>
          <w:szCs w:val="20"/>
          <w:u w:val="single"/>
        </w:rPr>
        <w:t xml:space="preserve">Appeal point </w:t>
      </w:r>
      <w:r>
        <w:rPr>
          <w:rFonts w:cs="Arial"/>
          <w:b/>
          <w:sz w:val="20"/>
          <w:szCs w:val="20"/>
          <w:u w:val="single"/>
        </w:rPr>
        <w:t>1(b).1</w:t>
      </w:r>
      <w:r w:rsidR="00B324F6" w:rsidRPr="00B324F6">
        <w:rPr>
          <w:rFonts w:cs="Arial"/>
          <w:b/>
          <w:sz w:val="20"/>
          <w:szCs w:val="20"/>
          <w:u w:val="single"/>
        </w:rPr>
        <w:t xml:space="preserve"> NICE has breached its legal obligations under human rights and equalities laws</w:t>
      </w:r>
    </w:p>
    <w:p w14:paraId="54FABF39" w14:textId="16CD2C03" w:rsidR="00A83F17" w:rsidRDefault="00A83F17" w:rsidP="00A83F17">
      <w:pPr>
        <w:spacing w:before="120" w:after="240"/>
        <w:rPr>
          <w:rFonts w:ascii="Arial" w:hAnsi="Arial" w:cs="Arial"/>
          <w:color w:val="0D0D0D" w:themeColor="text1" w:themeTint="F2"/>
          <w:sz w:val="20"/>
          <w:szCs w:val="20"/>
          <w:lang w:eastAsia="en-GB"/>
        </w:rPr>
      </w:pPr>
      <w:r w:rsidRPr="00A83F17">
        <w:rPr>
          <w:rFonts w:ascii="Arial" w:eastAsia="Times New Roman" w:hAnsi="Arial" w:cs="Arial"/>
          <w:color w:val="0D0D0D" w:themeColor="text1" w:themeTint="F2"/>
          <w:sz w:val="20"/>
          <w:szCs w:val="20"/>
          <w:lang w:eastAsia="en-GB"/>
        </w:rPr>
        <w:t xml:space="preserve">Having considered the additional arguments made in your letter of </w:t>
      </w:r>
      <w:r w:rsidRPr="00A83F17">
        <w:rPr>
          <w:rFonts w:ascii="Arial" w:hAnsi="Arial" w:cs="Arial"/>
          <w:color w:val="0D0D0D" w:themeColor="text1" w:themeTint="F2"/>
          <w:sz w:val="20"/>
          <w:szCs w:val="20"/>
          <w:lang w:eastAsia="en-GB"/>
        </w:rPr>
        <w:t>27 March 2023</w:t>
      </w:r>
      <w:r w:rsidRPr="00A83F17">
        <w:rPr>
          <w:rFonts w:ascii="Arial" w:eastAsia="Times New Roman" w:hAnsi="Arial" w:cs="Arial"/>
          <w:color w:val="0D0D0D" w:themeColor="text1" w:themeTint="F2"/>
          <w:sz w:val="20"/>
          <w:szCs w:val="20"/>
          <w:lang w:eastAsia="en-GB"/>
        </w:rPr>
        <w:t xml:space="preserve"> I </w:t>
      </w:r>
      <w:r w:rsidR="00052930">
        <w:rPr>
          <w:rFonts w:ascii="Arial" w:eastAsia="Times New Roman" w:hAnsi="Arial" w:cs="Arial"/>
          <w:color w:val="0D0D0D" w:themeColor="text1" w:themeTint="F2"/>
          <w:sz w:val="20"/>
          <w:szCs w:val="20"/>
          <w:lang w:eastAsia="en-GB"/>
        </w:rPr>
        <w:t>confirm my initial view</w:t>
      </w:r>
      <w:r w:rsidRPr="00A83F17">
        <w:rPr>
          <w:rFonts w:ascii="Arial" w:eastAsia="Times New Roman" w:hAnsi="Arial" w:cs="Arial"/>
          <w:color w:val="0D0D0D" w:themeColor="text1" w:themeTint="F2"/>
          <w:sz w:val="20"/>
          <w:szCs w:val="20"/>
          <w:lang w:eastAsia="en-GB"/>
        </w:rPr>
        <w:t xml:space="preserve"> that this is a valid appeal point. </w:t>
      </w:r>
    </w:p>
    <w:p w14:paraId="4710A553" w14:textId="0E2623AA" w:rsidR="00DB178D" w:rsidRPr="00243EF5" w:rsidRDefault="00DB178D" w:rsidP="00DB178D">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the recommendation is unreasonable in the light of the evidence submitted to NICE</w:t>
      </w:r>
    </w:p>
    <w:p w14:paraId="378C79FF" w14:textId="1EF80A45" w:rsidR="009F08F1" w:rsidRDefault="009F08F1" w:rsidP="00A3136F">
      <w:pPr>
        <w:spacing w:before="120" w:after="240"/>
        <w:rPr>
          <w:rFonts w:ascii="Arial" w:hAnsi="Arial" w:cs="Arial"/>
          <w:b/>
          <w:sz w:val="20"/>
          <w:szCs w:val="20"/>
          <w:highlight w:val="yellow"/>
          <w:u w:val="single"/>
        </w:rPr>
      </w:pPr>
      <w:r w:rsidRPr="009F08F1">
        <w:rPr>
          <w:rFonts w:ascii="Arial" w:hAnsi="Arial" w:cs="Arial"/>
          <w:b/>
          <w:sz w:val="20"/>
          <w:szCs w:val="20"/>
          <w:u w:val="single"/>
        </w:rPr>
        <w:t xml:space="preserve">Appeal point 2.1; </w:t>
      </w:r>
      <w:r>
        <w:rPr>
          <w:rFonts w:ascii="Arial" w:hAnsi="Arial" w:cs="Arial"/>
          <w:b/>
          <w:sz w:val="20"/>
          <w:szCs w:val="20"/>
          <w:u w:val="single"/>
        </w:rPr>
        <w:t xml:space="preserve"> </w:t>
      </w:r>
      <w:r w:rsidRPr="009F08F1">
        <w:rPr>
          <w:rFonts w:ascii="Arial" w:hAnsi="Arial" w:cs="Arial"/>
          <w:b/>
          <w:sz w:val="20"/>
          <w:szCs w:val="20"/>
          <w:u w:val="single"/>
        </w:rPr>
        <w:t>By evaluating evidence selectively, inappropriately, and in a methodologically unsound and unfair manner, the Appraisal Committee’s conclusions in respect of molnupiravir are necessarily unreasonable in light of the available evidence</w:t>
      </w:r>
      <w:r w:rsidRPr="009F08F1">
        <w:rPr>
          <w:rFonts w:ascii="Arial" w:hAnsi="Arial" w:cs="Arial"/>
          <w:b/>
          <w:sz w:val="20"/>
          <w:szCs w:val="20"/>
          <w:highlight w:val="yellow"/>
          <w:u w:val="single"/>
        </w:rPr>
        <w:t xml:space="preserve"> </w:t>
      </w:r>
    </w:p>
    <w:p w14:paraId="72E3F1D8" w14:textId="679C3C7D" w:rsidR="00A3136F" w:rsidRDefault="00A3136F" w:rsidP="00A3136F">
      <w:pPr>
        <w:spacing w:before="120" w:after="240"/>
        <w:rPr>
          <w:rFonts w:ascii="Arial" w:hAnsi="Arial" w:cs="Arial"/>
          <w:color w:val="0D0D0D" w:themeColor="text1" w:themeTint="F2"/>
          <w:sz w:val="20"/>
          <w:szCs w:val="20"/>
          <w:lang w:eastAsia="en-GB"/>
        </w:rPr>
      </w:pPr>
      <w:r w:rsidRPr="00A83F17">
        <w:rPr>
          <w:rFonts w:ascii="Arial" w:eastAsia="Times New Roman" w:hAnsi="Arial" w:cs="Arial"/>
          <w:color w:val="0D0D0D" w:themeColor="text1" w:themeTint="F2"/>
          <w:sz w:val="20"/>
          <w:szCs w:val="20"/>
          <w:lang w:eastAsia="en-GB"/>
        </w:rPr>
        <w:t xml:space="preserve">Having considered the additional arguments made in your letter of </w:t>
      </w:r>
      <w:r w:rsidR="00A83F17" w:rsidRPr="00A83F17">
        <w:rPr>
          <w:rFonts w:ascii="Arial" w:hAnsi="Arial" w:cs="Arial"/>
          <w:color w:val="0D0D0D" w:themeColor="text1" w:themeTint="F2"/>
          <w:sz w:val="20"/>
          <w:szCs w:val="20"/>
          <w:lang w:eastAsia="en-GB"/>
        </w:rPr>
        <w:t>27 March 202</w:t>
      </w:r>
      <w:r w:rsidRPr="00A83F17">
        <w:rPr>
          <w:rFonts w:ascii="Arial" w:eastAsia="Times New Roman" w:hAnsi="Arial" w:cs="Arial"/>
          <w:color w:val="0D0D0D" w:themeColor="text1" w:themeTint="F2"/>
          <w:sz w:val="20"/>
          <w:szCs w:val="20"/>
          <w:lang w:eastAsia="en-GB"/>
        </w:rPr>
        <w:t xml:space="preserve"> I </w:t>
      </w:r>
      <w:r w:rsidRPr="00A83F17">
        <w:rPr>
          <w:rFonts w:ascii="Arial" w:hAnsi="Arial" w:cs="Arial"/>
          <w:color w:val="0D0D0D" w:themeColor="text1" w:themeTint="F2"/>
          <w:sz w:val="20"/>
          <w:szCs w:val="20"/>
          <w:lang w:eastAsia="en-GB"/>
        </w:rPr>
        <w:t>remain of the view that this appeal point should not proceed to an oral hearing.</w:t>
      </w:r>
    </w:p>
    <w:p w14:paraId="6E92B1F3" w14:textId="08030FCE" w:rsidR="00281448" w:rsidRDefault="00281448" w:rsidP="00A3136F">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My understanding of your position is that the cumulative effect of procedural changes is unfair, </w:t>
      </w:r>
      <w:r w:rsidR="009A0879">
        <w:rPr>
          <w:rFonts w:ascii="Arial" w:hAnsi="Arial" w:cs="Arial"/>
          <w:color w:val="0D0D0D" w:themeColor="text1" w:themeTint="F2"/>
          <w:sz w:val="20"/>
          <w:szCs w:val="20"/>
          <w:lang w:eastAsia="en-GB"/>
        </w:rPr>
        <w:t>and that the unfairness (as you see it) leads to unreasonableness because the decision ‘lacks a rational basis or foundation and simply does not add up’.  Your arguments as to unfairness fall to be considered under appeal 1(a).2, which I have agreed to refer to the Appeal Panel in full.  I cannot see a possible scenario in which your appeal point 1(a).2 fails, but this appeal point 2.1 succeeds, or vice versa.  Accordingly, I confirm my view that this appeal point will not be referred to the Appeal Panel.</w:t>
      </w:r>
    </w:p>
    <w:p w14:paraId="4803954B" w14:textId="7F8D8138" w:rsidR="009F08F1" w:rsidRDefault="009F08F1" w:rsidP="00A3136F">
      <w:pPr>
        <w:spacing w:before="120" w:after="240"/>
        <w:rPr>
          <w:rFonts w:ascii="Arial" w:hAnsi="Arial" w:cs="Arial"/>
          <w:b/>
          <w:bCs/>
          <w:color w:val="0D0D0D" w:themeColor="text1" w:themeTint="F2"/>
          <w:sz w:val="20"/>
          <w:szCs w:val="20"/>
          <w:u w:val="single"/>
          <w:lang w:eastAsia="en-GB"/>
        </w:rPr>
      </w:pPr>
      <w:r w:rsidRPr="009F08F1">
        <w:rPr>
          <w:rFonts w:ascii="Arial" w:hAnsi="Arial" w:cs="Arial"/>
          <w:b/>
          <w:bCs/>
          <w:color w:val="0D0D0D" w:themeColor="text1" w:themeTint="F2"/>
          <w:sz w:val="20"/>
          <w:szCs w:val="20"/>
          <w:u w:val="single"/>
          <w:lang w:eastAsia="en-GB"/>
        </w:rPr>
        <w:t>Appeal point 2.2; The Appraisal Committee’s administration cost assumptions for molnupiravir and nirmatrelvir plus ritonavir are unreasonable</w:t>
      </w:r>
    </w:p>
    <w:p w14:paraId="1084436F" w14:textId="3F19FB55" w:rsidR="00281448" w:rsidRDefault="009F08F1" w:rsidP="00281448">
      <w:pPr>
        <w:spacing w:before="120" w:after="240"/>
        <w:rPr>
          <w:rFonts w:ascii="Arial" w:eastAsia="Times New Roman" w:hAnsi="Arial" w:cs="Arial"/>
          <w:color w:val="0D0D0D" w:themeColor="text1" w:themeTint="F2"/>
          <w:sz w:val="20"/>
          <w:szCs w:val="20"/>
          <w:lang w:eastAsia="en-GB"/>
        </w:rPr>
      </w:pPr>
      <w:r w:rsidRPr="00281448">
        <w:rPr>
          <w:rFonts w:ascii="Arial" w:eastAsia="Times New Roman" w:hAnsi="Arial" w:cs="Arial"/>
          <w:color w:val="0D0D0D" w:themeColor="text1" w:themeTint="F2"/>
          <w:sz w:val="20"/>
          <w:szCs w:val="20"/>
          <w:lang w:eastAsia="en-GB"/>
        </w:rPr>
        <w:t xml:space="preserve">Having considered the additional arguments made in your letter of </w:t>
      </w:r>
      <w:r w:rsidR="00A83F17" w:rsidRPr="00281448">
        <w:rPr>
          <w:rFonts w:ascii="Arial" w:hAnsi="Arial" w:cs="Arial"/>
          <w:color w:val="0D0D0D" w:themeColor="text1" w:themeTint="F2"/>
          <w:sz w:val="20"/>
          <w:szCs w:val="20"/>
          <w:lang w:eastAsia="en-GB"/>
        </w:rPr>
        <w:t>27 March 2023</w:t>
      </w:r>
      <w:r w:rsidRPr="00281448">
        <w:rPr>
          <w:rFonts w:ascii="Arial" w:eastAsia="Times New Roman" w:hAnsi="Arial" w:cs="Arial"/>
          <w:color w:val="0D0D0D" w:themeColor="text1" w:themeTint="F2"/>
          <w:sz w:val="20"/>
          <w:szCs w:val="20"/>
          <w:lang w:eastAsia="en-GB"/>
        </w:rPr>
        <w:t xml:space="preserve">, I agree that this is a valid appeal point. </w:t>
      </w:r>
      <w:r w:rsidR="00281448">
        <w:rPr>
          <w:rFonts w:ascii="Arial" w:eastAsia="Times New Roman" w:hAnsi="Arial" w:cs="Arial"/>
          <w:color w:val="0D0D0D" w:themeColor="text1" w:themeTint="F2"/>
          <w:sz w:val="20"/>
          <w:szCs w:val="20"/>
          <w:lang w:eastAsia="en-GB"/>
        </w:rPr>
        <w:t xml:space="preserve">  I have taken into consideration your arguments that your challenge is made on the basis that the administration costs used by the committee were </w:t>
      </w:r>
      <w:r w:rsidR="009A0879">
        <w:rPr>
          <w:rFonts w:ascii="Arial" w:eastAsia="Times New Roman" w:hAnsi="Arial" w:cs="Arial"/>
          <w:color w:val="0D0D0D" w:themeColor="text1" w:themeTint="F2"/>
          <w:sz w:val="20"/>
          <w:szCs w:val="20"/>
          <w:lang w:eastAsia="en-GB"/>
        </w:rPr>
        <w:t xml:space="preserve">demonstrably </w:t>
      </w:r>
      <w:r w:rsidR="00281448">
        <w:rPr>
          <w:rFonts w:ascii="Arial" w:eastAsia="Times New Roman" w:hAnsi="Arial" w:cs="Arial"/>
          <w:color w:val="0D0D0D" w:themeColor="text1" w:themeTint="F2"/>
          <w:sz w:val="20"/>
          <w:szCs w:val="20"/>
          <w:lang w:eastAsia="en-GB"/>
        </w:rPr>
        <w:t>wrong based on the evidence that was available at the time of the appraisal</w:t>
      </w:r>
      <w:r w:rsidR="009A0879">
        <w:rPr>
          <w:rFonts w:ascii="Arial" w:eastAsia="Times New Roman" w:hAnsi="Arial" w:cs="Arial"/>
          <w:color w:val="0D0D0D" w:themeColor="text1" w:themeTint="F2"/>
          <w:sz w:val="20"/>
          <w:szCs w:val="20"/>
          <w:lang w:eastAsia="en-GB"/>
        </w:rPr>
        <w:t>,</w:t>
      </w:r>
      <w:r w:rsidR="00281448">
        <w:rPr>
          <w:rFonts w:ascii="Arial" w:eastAsia="Times New Roman" w:hAnsi="Arial" w:cs="Arial"/>
          <w:color w:val="0D0D0D" w:themeColor="text1" w:themeTint="F2"/>
          <w:sz w:val="20"/>
          <w:szCs w:val="20"/>
          <w:lang w:eastAsia="en-GB"/>
        </w:rPr>
        <w:t xml:space="preserve"> and therefore this decision was unreasonable.</w:t>
      </w:r>
    </w:p>
    <w:p w14:paraId="2AADAF28" w14:textId="7919E7DF" w:rsidR="005A7A7D" w:rsidRPr="00771051" w:rsidRDefault="00281448" w:rsidP="00281448">
      <w:pPr>
        <w:spacing w:before="120" w:after="240"/>
        <w:rPr>
          <w:rFonts w:ascii="Arial" w:eastAsia="Times New Roman" w:hAnsi="Arial" w:cs="Arial"/>
          <w:sz w:val="20"/>
          <w:szCs w:val="20"/>
          <w:u w:val="single"/>
        </w:rPr>
      </w:pPr>
      <w:r>
        <w:rPr>
          <w:rFonts w:ascii="Arial" w:eastAsia="Times New Roman" w:hAnsi="Arial" w:cs="Arial"/>
          <w:sz w:val="20"/>
          <w:szCs w:val="20"/>
          <w:u w:val="single"/>
        </w:rPr>
        <w:t>C</w:t>
      </w:r>
      <w:r w:rsidR="005A7A7D" w:rsidRPr="00771051">
        <w:rPr>
          <w:rFonts w:ascii="Arial" w:eastAsia="Times New Roman" w:hAnsi="Arial" w:cs="Arial"/>
          <w:sz w:val="20"/>
          <w:szCs w:val="20"/>
          <w:u w:val="single"/>
        </w:rPr>
        <w:t>onclusion</w:t>
      </w:r>
    </w:p>
    <w:p w14:paraId="64256DC4" w14:textId="77777777" w:rsidR="005A7A7D" w:rsidRPr="002D1800" w:rsidRDefault="005A7A7D" w:rsidP="002D1800">
      <w:pPr>
        <w:spacing w:before="120" w:after="240"/>
        <w:rPr>
          <w:rFonts w:ascii="Arial" w:eastAsia="Times New Roman" w:hAnsi="Arial" w:cs="Arial"/>
          <w:color w:val="0D0D0D" w:themeColor="text1" w:themeTint="F2"/>
          <w:sz w:val="20"/>
          <w:szCs w:val="20"/>
          <w:lang w:eastAsia="en-GB"/>
        </w:rPr>
      </w:pPr>
      <w:r w:rsidRPr="002D1800">
        <w:rPr>
          <w:rFonts w:ascii="Arial" w:eastAsia="Times New Roman" w:hAnsi="Arial" w:cs="Arial"/>
          <w:color w:val="0D0D0D" w:themeColor="text1" w:themeTint="F2"/>
          <w:sz w:val="20"/>
          <w:szCs w:val="20"/>
          <w:lang w:eastAsia="en-GB"/>
        </w:rPr>
        <w:t>Therefore the valid appeal points are:</w:t>
      </w:r>
    </w:p>
    <w:p w14:paraId="0AF0E90C" w14:textId="7AE2F237" w:rsidR="005A7A7D" w:rsidRPr="002D1800" w:rsidRDefault="005A7A7D"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1(a).1</w:t>
      </w:r>
      <w:r w:rsidR="00E111C5" w:rsidRPr="002D1800">
        <w:rPr>
          <w:rFonts w:cs="Arial"/>
          <w:color w:val="0D0D0D" w:themeColor="text1" w:themeTint="F2"/>
          <w:lang w:eastAsia="en-GB"/>
        </w:rPr>
        <w:t>:</w:t>
      </w:r>
      <w:r w:rsidRPr="002D1800">
        <w:rPr>
          <w:rFonts w:cs="Arial"/>
          <w:color w:val="0D0D0D" w:themeColor="text1" w:themeTint="F2"/>
          <w:lang w:eastAsia="en-GB"/>
        </w:rPr>
        <w:t xml:space="preserve"> </w:t>
      </w:r>
      <w:r w:rsidR="009A0879" w:rsidRPr="002D1800">
        <w:rPr>
          <w:rFonts w:cs="Arial"/>
          <w:color w:val="0D0D0D" w:themeColor="text1" w:themeTint="F2"/>
          <w:lang w:eastAsia="en-GB"/>
        </w:rPr>
        <w:t>NICE failed to act fairly, by following an ad-hoc process that departed from the Manual.</w:t>
      </w:r>
    </w:p>
    <w:p w14:paraId="3DB3C093" w14:textId="2D91F614" w:rsidR="00134547" w:rsidRPr="002D1800" w:rsidRDefault="00134547"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1(a).2</w:t>
      </w:r>
      <w:r w:rsidR="00E111C5" w:rsidRPr="002D1800">
        <w:rPr>
          <w:rFonts w:cs="Arial"/>
          <w:color w:val="0D0D0D" w:themeColor="text1" w:themeTint="F2"/>
          <w:lang w:eastAsia="en-GB"/>
        </w:rPr>
        <w:t>:</w:t>
      </w:r>
      <w:r w:rsidRPr="002D1800">
        <w:rPr>
          <w:rFonts w:cs="Arial"/>
          <w:color w:val="0D0D0D" w:themeColor="text1" w:themeTint="F2"/>
          <w:lang w:eastAsia="en-GB"/>
        </w:rPr>
        <w:t xml:space="preserve"> </w:t>
      </w:r>
      <w:r w:rsidR="00E111C5" w:rsidRPr="002D1800">
        <w:rPr>
          <w:rFonts w:cs="Arial"/>
          <w:color w:val="0D0D0D" w:themeColor="text1" w:themeTint="F2"/>
          <w:lang w:eastAsia="en-GB"/>
        </w:rPr>
        <w:t>NICE acted unfairly because of ad hoc process changes during the appraisal that individually or taken together led to unfairness</w:t>
      </w:r>
      <w:r w:rsidR="00033F83" w:rsidRPr="002D1800">
        <w:rPr>
          <w:rFonts w:cs="Arial"/>
          <w:color w:val="0D0D0D" w:themeColor="text1" w:themeTint="F2"/>
          <w:lang w:eastAsia="en-GB"/>
        </w:rPr>
        <w:t>.</w:t>
      </w:r>
    </w:p>
    <w:p w14:paraId="33EFAAD5" w14:textId="77777777" w:rsidR="00134547" w:rsidRPr="002D1800" w:rsidRDefault="00134547" w:rsidP="002D1800">
      <w:pPr>
        <w:spacing w:before="120" w:after="240"/>
        <w:rPr>
          <w:rFonts w:ascii="Arial" w:eastAsia="Times New Roman" w:hAnsi="Arial" w:cs="Arial"/>
          <w:color w:val="0D0D0D" w:themeColor="text1" w:themeTint="F2"/>
          <w:sz w:val="20"/>
          <w:szCs w:val="20"/>
          <w:lang w:eastAsia="en-GB"/>
        </w:rPr>
      </w:pPr>
    </w:p>
    <w:p w14:paraId="41A51ED7" w14:textId="6581CDD8" w:rsidR="00E111C5" w:rsidRPr="002D1800" w:rsidRDefault="00134547"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lastRenderedPageBreak/>
        <w:t>1(a).3</w:t>
      </w:r>
      <w:r w:rsidR="00E111C5" w:rsidRPr="002D1800">
        <w:rPr>
          <w:rFonts w:cs="Arial"/>
          <w:color w:val="0D0D0D" w:themeColor="text1" w:themeTint="F2"/>
          <w:lang w:eastAsia="en-GB"/>
        </w:rPr>
        <w:t>:</w:t>
      </w:r>
      <w:r w:rsidR="00DC5144" w:rsidRPr="002D1800">
        <w:rPr>
          <w:rFonts w:cs="Arial"/>
          <w:color w:val="0D0D0D" w:themeColor="text1" w:themeTint="F2"/>
          <w:lang w:eastAsia="en-GB"/>
        </w:rPr>
        <w:t xml:space="preserve"> </w:t>
      </w:r>
      <w:r w:rsidR="00E111C5" w:rsidRPr="002D1800">
        <w:rPr>
          <w:rFonts w:cs="Arial"/>
          <w:color w:val="0D0D0D" w:themeColor="text1" w:themeTint="F2"/>
          <w:lang w:eastAsia="en-GB"/>
        </w:rPr>
        <w:t>NICE acted unfairly because t</w:t>
      </w:r>
      <w:r w:rsidR="00DC5144" w:rsidRPr="002D1800">
        <w:rPr>
          <w:rFonts w:cs="Arial"/>
          <w:color w:val="0D0D0D" w:themeColor="text1" w:themeTint="F2"/>
          <w:lang w:eastAsia="en-GB"/>
        </w:rPr>
        <w:t>he Appraisal Committee</w:t>
      </w:r>
      <w:r w:rsidR="00E111C5" w:rsidRPr="002D1800">
        <w:rPr>
          <w:rFonts w:cs="Arial"/>
          <w:color w:val="0D0D0D" w:themeColor="text1" w:themeTint="F2"/>
          <w:lang w:eastAsia="en-GB"/>
        </w:rPr>
        <w:t xml:space="preserve"> unfairly:</w:t>
      </w:r>
    </w:p>
    <w:p w14:paraId="769CF9BD" w14:textId="77777777" w:rsidR="00E111C5" w:rsidRPr="002D1800" w:rsidRDefault="00E111C5" w:rsidP="002D1800">
      <w:pPr>
        <w:pStyle w:val="ListParagraph"/>
        <w:numPr>
          <w:ilvl w:val="1"/>
          <w:numId w:val="23"/>
        </w:numPr>
        <w:spacing w:before="120" w:after="240"/>
        <w:rPr>
          <w:rFonts w:cs="Arial"/>
          <w:color w:val="0D0D0D" w:themeColor="text1" w:themeTint="F2"/>
          <w:lang w:eastAsia="en-GB"/>
        </w:rPr>
      </w:pPr>
      <w:r w:rsidRPr="002D1800">
        <w:rPr>
          <w:rFonts w:cs="Arial"/>
          <w:color w:val="0D0D0D" w:themeColor="text1" w:themeTint="F2"/>
          <w:lang w:eastAsia="en-GB"/>
        </w:rPr>
        <w:t>failed to take adequate steps to identify relevant evidence</w:t>
      </w:r>
    </w:p>
    <w:p w14:paraId="7F25CD7B" w14:textId="77777777" w:rsidR="00E111C5" w:rsidRPr="002D1800" w:rsidRDefault="00E111C5" w:rsidP="002D1800">
      <w:pPr>
        <w:pStyle w:val="ListParagraph"/>
        <w:numPr>
          <w:ilvl w:val="1"/>
          <w:numId w:val="23"/>
        </w:numPr>
        <w:spacing w:before="120" w:after="240"/>
        <w:rPr>
          <w:rFonts w:cs="Arial"/>
          <w:color w:val="0D0D0D" w:themeColor="text1" w:themeTint="F2"/>
          <w:lang w:eastAsia="en-GB"/>
        </w:rPr>
      </w:pPr>
      <w:r w:rsidRPr="002D1800">
        <w:rPr>
          <w:rFonts w:cs="Arial"/>
          <w:color w:val="0D0D0D" w:themeColor="text1" w:themeTint="F2"/>
          <w:lang w:eastAsia="en-GB"/>
        </w:rPr>
        <w:t>failed to consider relevant RWE about molnupiravir, particularly given its recognition of the “significant limitations” of the clinical evidence used in the appraisal and resulting uncertainty and the alleged particular relevance of the RWE that MSD presented, and/or</w:t>
      </w:r>
    </w:p>
    <w:p w14:paraId="6848D168" w14:textId="3FC2CBE8" w:rsidR="00E111C5" w:rsidRPr="002D1800" w:rsidRDefault="00E111C5" w:rsidP="002D1800">
      <w:pPr>
        <w:pStyle w:val="ListParagraph"/>
        <w:numPr>
          <w:ilvl w:val="1"/>
          <w:numId w:val="23"/>
        </w:numPr>
        <w:spacing w:before="120" w:after="240"/>
        <w:rPr>
          <w:rFonts w:cs="Arial"/>
          <w:color w:val="0D0D0D" w:themeColor="text1" w:themeTint="F2"/>
          <w:lang w:eastAsia="en-GB"/>
        </w:rPr>
      </w:pPr>
      <w:r w:rsidRPr="002D1800">
        <w:rPr>
          <w:rFonts w:cs="Arial"/>
          <w:color w:val="0D0D0D" w:themeColor="text1" w:themeTint="F2"/>
          <w:lang w:eastAsia="en-GB"/>
        </w:rPr>
        <w:t>treated RWE inconsistently.</w:t>
      </w:r>
    </w:p>
    <w:p w14:paraId="7130C482" w14:textId="7DB8E1C2" w:rsidR="00134547" w:rsidRPr="002D1800" w:rsidRDefault="00134547"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1(a).7</w:t>
      </w:r>
      <w:r w:rsidR="00E111C5" w:rsidRPr="002D1800">
        <w:rPr>
          <w:rFonts w:cs="Arial"/>
          <w:color w:val="0D0D0D" w:themeColor="text1" w:themeTint="F2"/>
          <w:lang w:eastAsia="en-GB"/>
        </w:rPr>
        <w:t>:</w:t>
      </w:r>
      <w:r w:rsidR="00BB4358" w:rsidRPr="002D1800">
        <w:rPr>
          <w:rFonts w:cs="Arial"/>
          <w:color w:val="0D0D0D" w:themeColor="text1" w:themeTint="F2"/>
          <w:lang w:eastAsia="en-GB"/>
        </w:rPr>
        <w:t xml:space="preserve"> NICE </w:t>
      </w:r>
      <w:r w:rsidR="00E111C5" w:rsidRPr="002D1800">
        <w:rPr>
          <w:rFonts w:cs="Arial"/>
          <w:color w:val="0D0D0D" w:themeColor="text1" w:themeTint="F2"/>
          <w:lang w:eastAsia="en-GB"/>
        </w:rPr>
        <w:t xml:space="preserve">acted unfairly because the Committee </w:t>
      </w:r>
      <w:r w:rsidR="00BB4358" w:rsidRPr="002D1800">
        <w:rPr>
          <w:rFonts w:cs="Arial"/>
          <w:color w:val="0D0D0D" w:themeColor="text1" w:themeTint="F2"/>
          <w:lang w:eastAsia="en-GB"/>
        </w:rPr>
        <w:t>unduly focused on mortality and hospitalisation rates to assess clinical benefit rates and failed to give due consideration to other outcome measures, thereby creating bias against molnupiravir</w:t>
      </w:r>
      <w:r w:rsidR="008611AC" w:rsidRPr="002D1800">
        <w:rPr>
          <w:rFonts w:cs="Arial"/>
          <w:color w:val="0D0D0D" w:themeColor="text1" w:themeTint="F2"/>
          <w:lang w:eastAsia="en-GB"/>
        </w:rPr>
        <w:t>.</w:t>
      </w:r>
    </w:p>
    <w:p w14:paraId="305D2DCA" w14:textId="4D4F81B7" w:rsidR="009224EE" w:rsidRPr="002D1800" w:rsidRDefault="005A7A7D"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1(b).1</w:t>
      </w:r>
      <w:r w:rsidR="00E111C5" w:rsidRPr="002D1800">
        <w:rPr>
          <w:rFonts w:cs="Arial"/>
          <w:color w:val="0D0D0D" w:themeColor="text1" w:themeTint="F2"/>
          <w:lang w:eastAsia="en-GB"/>
        </w:rPr>
        <w:t>:</w:t>
      </w:r>
      <w:r w:rsidR="00BB4358" w:rsidRPr="002D1800">
        <w:rPr>
          <w:rFonts w:cs="Arial"/>
          <w:color w:val="0D0D0D" w:themeColor="text1" w:themeTint="F2"/>
          <w:lang w:eastAsia="en-GB"/>
        </w:rPr>
        <w:t xml:space="preserve"> NICE has breached its legal obligations under human rights and equalities laws</w:t>
      </w:r>
    </w:p>
    <w:p w14:paraId="09D4AB25" w14:textId="3738AE22" w:rsidR="00E111C5" w:rsidRPr="002D1800" w:rsidRDefault="00E111C5"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1(b).2: NICE exceeded its powers by allowing the EAG to take decisions that should have remained with the Committee</w:t>
      </w:r>
    </w:p>
    <w:p w14:paraId="1E61A7F0" w14:textId="27BEDCC3" w:rsidR="009224EE" w:rsidRPr="002D1800" w:rsidRDefault="009224EE"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2.</w:t>
      </w:r>
      <w:r w:rsidR="00E111C5" w:rsidRPr="002D1800">
        <w:rPr>
          <w:rFonts w:cs="Arial"/>
          <w:color w:val="0D0D0D" w:themeColor="text1" w:themeTint="F2"/>
          <w:lang w:eastAsia="en-GB"/>
        </w:rPr>
        <w:t>2:</w:t>
      </w:r>
      <w:r w:rsidRPr="002D1800">
        <w:rPr>
          <w:rFonts w:cs="Arial"/>
          <w:color w:val="0D0D0D" w:themeColor="text1" w:themeTint="F2"/>
          <w:lang w:eastAsia="en-GB"/>
        </w:rPr>
        <w:t xml:space="preserve"> The Appraisal Committee’s administration cost assumptions for molnupiravir and nirmatrelvir plus ritonavir are unreasonable]</w:t>
      </w:r>
    </w:p>
    <w:p w14:paraId="05C63C6A" w14:textId="091BEFE3" w:rsidR="008611AC" w:rsidRPr="002D1800" w:rsidRDefault="008611AC"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2.</w:t>
      </w:r>
      <w:r w:rsidR="00E111C5" w:rsidRPr="002D1800">
        <w:rPr>
          <w:rFonts w:cs="Arial"/>
          <w:color w:val="0D0D0D" w:themeColor="text1" w:themeTint="F2"/>
          <w:lang w:eastAsia="en-GB"/>
        </w:rPr>
        <w:t>3</w:t>
      </w:r>
      <w:r w:rsidRPr="002D1800">
        <w:rPr>
          <w:rFonts w:cs="Arial"/>
          <w:color w:val="0D0D0D" w:themeColor="text1" w:themeTint="F2"/>
          <w:lang w:eastAsia="en-GB"/>
        </w:rPr>
        <w:t xml:space="preserve"> (originally 1(a).5)</w:t>
      </w:r>
      <w:r w:rsidR="00E111C5" w:rsidRPr="002D1800">
        <w:rPr>
          <w:rFonts w:cs="Arial"/>
          <w:color w:val="0D0D0D" w:themeColor="text1" w:themeTint="F2"/>
          <w:lang w:eastAsia="en-GB"/>
        </w:rPr>
        <w:t xml:space="preserve">: the recommendation is unreasonable in light of the conclusions drawn from the PANORAMIC data, which were unreasonable taking into account the known limitations of the data and the weight that was applied to this data set </w:t>
      </w:r>
    </w:p>
    <w:p w14:paraId="56BF388F" w14:textId="69A8D0FE" w:rsidR="005D15CA" w:rsidRPr="002D1800" w:rsidRDefault="005D15CA" w:rsidP="002D1800">
      <w:pPr>
        <w:pStyle w:val="ListParagraph"/>
        <w:numPr>
          <w:ilvl w:val="0"/>
          <w:numId w:val="23"/>
        </w:numPr>
        <w:spacing w:before="120" w:after="240"/>
        <w:rPr>
          <w:rFonts w:cs="Arial"/>
          <w:color w:val="0D0D0D" w:themeColor="text1" w:themeTint="F2"/>
          <w:lang w:eastAsia="en-GB"/>
        </w:rPr>
      </w:pPr>
      <w:r w:rsidRPr="002D1800">
        <w:rPr>
          <w:rFonts w:cs="Arial"/>
          <w:color w:val="0D0D0D" w:themeColor="text1" w:themeTint="F2"/>
          <w:lang w:eastAsia="en-GB"/>
        </w:rPr>
        <w:t>2.</w:t>
      </w:r>
      <w:r w:rsidR="00E111C5" w:rsidRPr="002D1800">
        <w:rPr>
          <w:rFonts w:cs="Arial"/>
          <w:color w:val="0D0D0D" w:themeColor="text1" w:themeTint="F2"/>
          <w:lang w:eastAsia="en-GB"/>
        </w:rPr>
        <w:t>4</w:t>
      </w:r>
      <w:r w:rsidRPr="002D1800">
        <w:rPr>
          <w:rFonts w:cs="Arial"/>
          <w:color w:val="0D0D0D" w:themeColor="text1" w:themeTint="F2"/>
          <w:lang w:eastAsia="en-GB"/>
        </w:rPr>
        <w:t xml:space="preserve"> (originally 1</w:t>
      </w:r>
      <w:r w:rsidR="00E32FAF" w:rsidRPr="002D1800">
        <w:rPr>
          <w:rFonts w:cs="Arial"/>
          <w:color w:val="0D0D0D" w:themeColor="text1" w:themeTint="F2"/>
          <w:lang w:eastAsia="en-GB"/>
        </w:rPr>
        <w:t>(</w:t>
      </w:r>
      <w:r w:rsidRPr="002D1800">
        <w:rPr>
          <w:rFonts w:cs="Arial"/>
          <w:color w:val="0D0D0D" w:themeColor="text1" w:themeTint="F2"/>
          <w:lang w:eastAsia="en-GB"/>
        </w:rPr>
        <w:t>a</w:t>
      </w:r>
      <w:r w:rsidR="00E32FAF" w:rsidRPr="002D1800">
        <w:rPr>
          <w:rFonts w:cs="Arial"/>
          <w:color w:val="0D0D0D" w:themeColor="text1" w:themeTint="F2"/>
          <w:lang w:eastAsia="en-GB"/>
        </w:rPr>
        <w:t>)</w:t>
      </w:r>
      <w:r w:rsidRPr="002D1800">
        <w:rPr>
          <w:rFonts w:cs="Arial"/>
          <w:color w:val="0D0D0D" w:themeColor="text1" w:themeTint="F2"/>
          <w:lang w:eastAsia="en-GB"/>
        </w:rPr>
        <w:t>.6)</w:t>
      </w:r>
      <w:r w:rsidR="002D1800" w:rsidRPr="002D1800">
        <w:rPr>
          <w:rFonts w:cs="Arial"/>
          <w:color w:val="0D0D0D" w:themeColor="text1" w:themeTint="F2"/>
          <w:lang w:eastAsia="en-GB"/>
        </w:rPr>
        <w:t>:</w:t>
      </w:r>
      <w:r w:rsidR="00DC5144" w:rsidRPr="002D1800">
        <w:rPr>
          <w:rFonts w:cs="Arial"/>
          <w:color w:val="0D0D0D" w:themeColor="text1" w:themeTint="F2"/>
          <w:lang w:eastAsia="en-GB"/>
        </w:rPr>
        <w:t xml:space="preserve"> The Appraisal Committee’s blanket capping of the efficacy levels of all treatments, without due consideration of each individual case</w:t>
      </w:r>
      <w:r w:rsidR="008611AC" w:rsidRPr="002D1800">
        <w:rPr>
          <w:rFonts w:cs="Arial"/>
          <w:color w:val="0D0D0D" w:themeColor="text1" w:themeTint="F2"/>
          <w:lang w:eastAsia="en-GB"/>
        </w:rPr>
        <w:t xml:space="preserve"> was unreasonable.</w:t>
      </w:r>
    </w:p>
    <w:p w14:paraId="39AAB977" w14:textId="61BB6067" w:rsidR="005A7A7D" w:rsidRPr="00134547" w:rsidRDefault="005A7A7D" w:rsidP="00134547">
      <w:pPr>
        <w:pStyle w:val="ListParagraph"/>
        <w:spacing w:before="120" w:after="240"/>
        <w:ind w:left="1080"/>
        <w:jc w:val="both"/>
        <w:rPr>
          <w:rFonts w:cs="Arial"/>
          <w:highlight w:val="yellow"/>
        </w:rPr>
      </w:pPr>
    </w:p>
    <w:p w14:paraId="39C6CB98" w14:textId="1F180D7B" w:rsidR="00E61DC0" w:rsidRPr="00E61DC0" w:rsidRDefault="00E61DC0" w:rsidP="00E61DC0">
      <w:pPr>
        <w:spacing w:before="120" w:after="240"/>
        <w:jc w:val="both"/>
        <w:rPr>
          <w:rFonts w:ascii="Arial" w:eastAsia="Times New Roman" w:hAnsi="Arial" w:cs="Arial"/>
          <w:sz w:val="20"/>
          <w:szCs w:val="20"/>
        </w:rPr>
      </w:pPr>
      <w:r w:rsidRPr="00E61DC0">
        <w:rPr>
          <w:rFonts w:ascii="Arial" w:eastAsia="Times New Roman" w:hAnsi="Arial" w:cs="Arial"/>
          <w:sz w:val="20"/>
          <w:szCs w:val="20"/>
        </w:rPr>
        <w:t xml:space="preserve">Finally, I confirm that NICE would, should it become necessary, confirm its view to the Court that the limitation period for any judicial review challenging a decision not to refer a proposed appeal point to the Appeal Panel, starts running only on conclusion of this appeal process. </w:t>
      </w:r>
    </w:p>
    <w:p w14:paraId="6599EABC" w14:textId="09EC4F23"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 xml:space="preserve">NICE shares the valid appeal grounds of each appellant with the other appellants to assist with preparation for the hearing.  </w:t>
      </w:r>
      <w:r w:rsidR="00A730D9">
        <w:rPr>
          <w:rFonts w:ascii="Arial" w:eastAsia="Times New Roman" w:hAnsi="Arial" w:cs="Arial"/>
          <w:sz w:val="20"/>
          <w:szCs w:val="20"/>
        </w:rPr>
        <w:t xml:space="preserve">These will be included in the appeal papers when they are circulated. </w:t>
      </w:r>
    </w:p>
    <w:p w14:paraId="5CCF2CB3"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 xml:space="preserve">NICE will be in contact with you regarding the administration of the appeal, which will be held orally. </w:t>
      </w:r>
    </w:p>
    <w:p w14:paraId="12F2B947" w14:textId="77777777" w:rsidR="005A7A7D" w:rsidRPr="00771051" w:rsidRDefault="005A7A7D" w:rsidP="005A7A7D">
      <w:pPr>
        <w:spacing w:before="120" w:after="240"/>
        <w:jc w:val="both"/>
        <w:rPr>
          <w:rFonts w:ascii="Arial" w:eastAsia="Times New Roman" w:hAnsi="Arial" w:cs="Arial"/>
          <w:sz w:val="20"/>
          <w:szCs w:val="20"/>
          <w:u w:val="single"/>
        </w:rPr>
      </w:pPr>
    </w:p>
    <w:p w14:paraId="04BAA200" w14:textId="02AF1C75" w:rsidR="005A7A7D"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Yours sincerely</w:t>
      </w:r>
    </w:p>
    <w:p w14:paraId="3ED5937E" w14:textId="1E4B8E39" w:rsidR="0005711B" w:rsidRPr="00771051" w:rsidRDefault="0005711B" w:rsidP="005A7A7D">
      <w:pPr>
        <w:spacing w:before="120" w:after="240"/>
        <w:jc w:val="both"/>
        <w:rPr>
          <w:rFonts w:ascii="Arial" w:eastAsia="Times New Roman" w:hAnsi="Arial" w:cs="Arial"/>
          <w:sz w:val="20"/>
          <w:szCs w:val="20"/>
        </w:rPr>
      </w:pPr>
    </w:p>
    <w:p w14:paraId="06E59F3D"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Dr Mark Chakravarty</w:t>
      </w:r>
    </w:p>
    <w:p w14:paraId="321A9458"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Lead Non-Executive Director for Appeals &amp; Vice Chairman</w:t>
      </w:r>
    </w:p>
    <w:p w14:paraId="40B9BBC0"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National Institute for Health and Care Excellence</w:t>
      </w:r>
    </w:p>
    <w:p w14:paraId="03E7BAFA" w14:textId="4811D299" w:rsidR="000B36E1" w:rsidRPr="0043022B" w:rsidRDefault="000B36E1" w:rsidP="002B6A0D">
      <w:pPr>
        <w:spacing w:line="360" w:lineRule="auto"/>
        <w:rPr>
          <w:rFonts w:ascii="Arial" w:hAnsi="Arial" w:cs="Arial"/>
          <w:sz w:val="20"/>
          <w:szCs w:val="20"/>
        </w:rPr>
      </w:pPr>
    </w:p>
    <w:sectPr w:rsidR="000B36E1" w:rsidRPr="0043022B"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58FF" w14:textId="77777777" w:rsidR="001A2427" w:rsidRDefault="001A2427" w:rsidP="000B352B">
      <w:pPr>
        <w:spacing w:after="0" w:line="240" w:lineRule="auto"/>
      </w:pPr>
      <w:r>
        <w:separator/>
      </w:r>
    </w:p>
  </w:endnote>
  <w:endnote w:type="continuationSeparator" w:id="0">
    <w:p w14:paraId="6CB2B331" w14:textId="77777777" w:rsidR="001A2427" w:rsidRDefault="001A2427"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5ACB" w14:textId="77777777" w:rsidR="001A2427" w:rsidRDefault="001A2427" w:rsidP="000B352B">
      <w:pPr>
        <w:spacing w:after="0" w:line="240" w:lineRule="auto"/>
      </w:pPr>
      <w:r>
        <w:separator/>
      </w:r>
    </w:p>
  </w:footnote>
  <w:footnote w:type="continuationSeparator" w:id="0">
    <w:p w14:paraId="52FC36D0" w14:textId="77777777" w:rsidR="001A2427" w:rsidRDefault="001A2427"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A05C6"/>
    <w:multiLevelType w:val="hybridMultilevel"/>
    <w:tmpl w:val="538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34FA"/>
    <w:multiLevelType w:val="hybridMultilevel"/>
    <w:tmpl w:val="14E4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6531E"/>
    <w:multiLevelType w:val="hybridMultilevel"/>
    <w:tmpl w:val="F4CCC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7BF"/>
    <w:multiLevelType w:val="hybridMultilevel"/>
    <w:tmpl w:val="2ADC9960"/>
    <w:lvl w:ilvl="0" w:tplc="417CAFDA">
      <w:start w:val="1"/>
      <w:numFmt w:val="lowerRoman"/>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891D57"/>
    <w:multiLevelType w:val="hybridMultilevel"/>
    <w:tmpl w:val="B4AA6D26"/>
    <w:lvl w:ilvl="0" w:tplc="FFD885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951730"/>
    <w:multiLevelType w:val="hybridMultilevel"/>
    <w:tmpl w:val="E6723A52"/>
    <w:lvl w:ilvl="0" w:tplc="417CAFDA">
      <w:start w:val="1"/>
      <w:numFmt w:val="lowerRoman"/>
      <w:lvlText w:val="%1."/>
      <w:lvlJc w:val="left"/>
      <w:pPr>
        <w:ind w:left="1571" w:hanging="720"/>
      </w:pPr>
      <w:rPr>
        <w:rFonts w:hint="default"/>
      </w:rPr>
    </w:lvl>
    <w:lvl w:ilvl="1" w:tplc="BA98C9F2">
      <w:start w:val="1"/>
      <w:numFmt w:val="decimal"/>
      <w:lvlText w:val="(%2)"/>
      <w:lvlJc w:val="left"/>
      <w:pPr>
        <w:ind w:left="2156" w:hanging="585"/>
      </w:pPr>
      <w:rPr>
        <w:rFonts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9" w15:restartNumberingAfterBreak="0">
    <w:nsid w:val="29B40DD5"/>
    <w:multiLevelType w:val="hybridMultilevel"/>
    <w:tmpl w:val="C27200BC"/>
    <w:lvl w:ilvl="0" w:tplc="BA98C9F2">
      <w:start w:val="1"/>
      <w:numFmt w:val="decimal"/>
      <w:lvlText w:val="(%1)"/>
      <w:lvlJc w:val="left"/>
      <w:pPr>
        <w:ind w:left="2156"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73939"/>
    <w:multiLevelType w:val="hybridMultilevel"/>
    <w:tmpl w:val="0166DD0E"/>
    <w:lvl w:ilvl="0" w:tplc="4DB0AD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A13E75"/>
    <w:multiLevelType w:val="hybridMultilevel"/>
    <w:tmpl w:val="C3FE5C52"/>
    <w:lvl w:ilvl="0" w:tplc="AB6005B4">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5937CD7"/>
    <w:multiLevelType w:val="hybridMultilevel"/>
    <w:tmpl w:val="B7A4867A"/>
    <w:lvl w:ilvl="0" w:tplc="417CAFDA">
      <w:start w:val="1"/>
      <w:numFmt w:val="lowerRoman"/>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2D0DBE"/>
    <w:multiLevelType w:val="hybridMultilevel"/>
    <w:tmpl w:val="237A70A6"/>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18" w15:restartNumberingAfterBreak="0">
    <w:nsid w:val="633355D3"/>
    <w:multiLevelType w:val="hybridMultilevel"/>
    <w:tmpl w:val="8F48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71973"/>
    <w:multiLevelType w:val="hybridMultilevel"/>
    <w:tmpl w:val="27006FFE"/>
    <w:lvl w:ilvl="0" w:tplc="AB600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6651A"/>
    <w:multiLevelType w:val="hybridMultilevel"/>
    <w:tmpl w:val="C02289F6"/>
    <w:lvl w:ilvl="0" w:tplc="FFD88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328525">
    <w:abstractNumId w:val="7"/>
  </w:num>
  <w:num w:numId="2" w16cid:durableId="2095129511">
    <w:abstractNumId w:val="16"/>
  </w:num>
  <w:num w:numId="3" w16cid:durableId="187110657">
    <w:abstractNumId w:val="8"/>
  </w:num>
  <w:num w:numId="4" w16cid:durableId="420487838">
    <w:abstractNumId w:val="17"/>
  </w:num>
  <w:num w:numId="5" w16cid:durableId="418139603">
    <w:abstractNumId w:val="0"/>
  </w:num>
  <w:num w:numId="6" w16cid:durableId="769813034">
    <w:abstractNumId w:val="11"/>
  </w:num>
  <w:num w:numId="7" w16cid:durableId="1124075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7836352">
    <w:abstractNumId w:val="15"/>
  </w:num>
  <w:num w:numId="9" w16cid:durableId="46418890">
    <w:abstractNumId w:val="21"/>
  </w:num>
  <w:num w:numId="10" w16cid:durableId="1769815500">
    <w:abstractNumId w:val="1"/>
  </w:num>
  <w:num w:numId="11" w16cid:durableId="166485067">
    <w:abstractNumId w:val="10"/>
  </w:num>
  <w:num w:numId="12" w16cid:durableId="1373462603">
    <w:abstractNumId w:val="6"/>
  </w:num>
  <w:num w:numId="13" w16cid:durableId="1902252262">
    <w:abstractNumId w:val="19"/>
  </w:num>
  <w:num w:numId="14" w16cid:durableId="1584292516">
    <w:abstractNumId w:val="12"/>
  </w:num>
  <w:num w:numId="15" w16cid:durableId="11688517">
    <w:abstractNumId w:val="13"/>
  </w:num>
  <w:num w:numId="16" w16cid:durableId="1027801508">
    <w:abstractNumId w:val="4"/>
  </w:num>
  <w:num w:numId="17" w16cid:durableId="1836143685">
    <w:abstractNumId w:val="14"/>
  </w:num>
  <w:num w:numId="18" w16cid:durableId="1719552844">
    <w:abstractNumId w:val="2"/>
  </w:num>
  <w:num w:numId="19" w16cid:durableId="645162097">
    <w:abstractNumId w:val="20"/>
  </w:num>
  <w:num w:numId="20" w16cid:durableId="504370032">
    <w:abstractNumId w:val="5"/>
  </w:num>
  <w:num w:numId="21" w16cid:durableId="1259361961">
    <w:abstractNumId w:val="18"/>
  </w:num>
  <w:num w:numId="22" w16cid:durableId="607354092">
    <w:abstractNumId w:val="9"/>
  </w:num>
  <w:num w:numId="23" w16cid:durableId="132535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7370"/>
    <w:rsid w:val="00020963"/>
    <w:rsid w:val="000262B6"/>
    <w:rsid w:val="00033F83"/>
    <w:rsid w:val="0003729F"/>
    <w:rsid w:val="000468DC"/>
    <w:rsid w:val="00052930"/>
    <w:rsid w:val="0005711B"/>
    <w:rsid w:val="000641E7"/>
    <w:rsid w:val="000729AE"/>
    <w:rsid w:val="00085181"/>
    <w:rsid w:val="00096A35"/>
    <w:rsid w:val="000B104A"/>
    <w:rsid w:val="000B352B"/>
    <w:rsid w:val="000B36E1"/>
    <w:rsid w:val="001046B9"/>
    <w:rsid w:val="00134547"/>
    <w:rsid w:val="00144F73"/>
    <w:rsid w:val="0014732A"/>
    <w:rsid w:val="00176AA4"/>
    <w:rsid w:val="001A2427"/>
    <w:rsid w:val="001D5BD2"/>
    <w:rsid w:val="001E0317"/>
    <w:rsid w:val="001F3962"/>
    <w:rsid w:val="0022689E"/>
    <w:rsid w:val="00281448"/>
    <w:rsid w:val="002A7A06"/>
    <w:rsid w:val="002B2A36"/>
    <w:rsid w:val="002B6A0D"/>
    <w:rsid w:val="002D1800"/>
    <w:rsid w:val="002E750D"/>
    <w:rsid w:val="0031768F"/>
    <w:rsid w:val="00320722"/>
    <w:rsid w:val="00321B75"/>
    <w:rsid w:val="00332ED4"/>
    <w:rsid w:val="00371B99"/>
    <w:rsid w:val="0039325B"/>
    <w:rsid w:val="003936B7"/>
    <w:rsid w:val="003A3E2E"/>
    <w:rsid w:val="003A79BD"/>
    <w:rsid w:val="003B2535"/>
    <w:rsid w:val="003D614E"/>
    <w:rsid w:val="0040409D"/>
    <w:rsid w:val="004215D9"/>
    <w:rsid w:val="0043022B"/>
    <w:rsid w:val="00453738"/>
    <w:rsid w:val="00453774"/>
    <w:rsid w:val="00480405"/>
    <w:rsid w:val="00484249"/>
    <w:rsid w:val="00493D2F"/>
    <w:rsid w:val="004C2D22"/>
    <w:rsid w:val="004E4493"/>
    <w:rsid w:val="004F29D7"/>
    <w:rsid w:val="004F39B0"/>
    <w:rsid w:val="00582EDA"/>
    <w:rsid w:val="00593F3D"/>
    <w:rsid w:val="005A42E5"/>
    <w:rsid w:val="005A7A7D"/>
    <w:rsid w:val="005B078B"/>
    <w:rsid w:val="005C388B"/>
    <w:rsid w:val="005C7480"/>
    <w:rsid w:val="005D15CA"/>
    <w:rsid w:val="005E0434"/>
    <w:rsid w:val="005E2A58"/>
    <w:rsid w:val="00641CEB"/>
    <w:rsid w:val="006628FF"/>
    <w:rsid w:val="00671EF3"/>
    <w:rsid w:val="0069376C"/>
    <w:rsid w:val="00695137"/>
    <w:rsid w:val="006D0C62"/>
    <w:rsid w:val="006F031D"/>
    <w:rsid w:val="0072577F"/>
    <w:rsid w:val="00732227"/>
    <w:rsid w:val="0079326E"/>
    <w:rsid w:val="007B36FA"/>
    <w:rsid w:val="007C64C6"/>
    <w:rsid w:val="007D4914"/>
    <w:rsid w:val="007D7CA0"/>
    <w:rsid w:val="008273F3"/>
    <w:rsid w:val="008409F9"/>
    <w:rsid w:val="008611AC"/>
    <w:rsid w:val="00865C59"/>
    <w:rsid w:val="00866617"/>
    <w:rsid w:val="00874899"/>
    <w:rsid w:val="008C081A"/>
    <w:rsid w:val="008E4AE4"/>
    <w:rsid w:val="009224EE"/>
    <w:rsid w:val="009572E9"/>
    <w:rsid w:val="00961369"/>
    <w:rsid w:val="0097353A"/>
    <w:rsid w:val="00993056"/>
    <w:rsid w:val="009A01FD"/>
    <w:rsid w:val="009A0879"/>
    <w:rsid w:val="009D58F7"/>
    <w:rsid w:val="009E2F15"/>
    <w:rsid w:val="009E3A9D"/>
    <w:rsid w:val="009E5151"/>
    <w:rsid w:val="009F0476"/>
    <w:rsid w:val="009F08F1"/>
    <w:rsid w:val="00A0226C"/>
    <w:rsid w:val="00A3136F"/>
    <w:rsid w:val="00A322F0"/>
    <w:rsid w:val="00A412E1"/>
    <w:rsid w:val="00A63845"/>
    <w:rsid w:val="00A730D9"/>
    <w:rsid w:val="00A83F17"/>
    <w:rsid w:val="00A84AF4"/>
    <w:rsid w:val="00A92ACC"/>
    <w:rsid w:val="00AE303D"/>
    <w:rsid w:val="00B24360"/>
    <w:rsid w:val="00B324F6"/>
    <w:rsid w:val="00B32B71"/>
    <w:rsid w:val="00B737D4"/>
    <w:rsid w:val="00B94AF6"/>
    <w:rsid w:val="00BA5427"/>
    <w:rsid w:val="00BB4358"/>
    <w:rsid w:val="00BC7BE7"/>
    <w:rsid w:val="00BF2200"/>
    <w:rsid w:val="00C85906"/>
    <w:rsid w:val="00C96687"/>
    <w:rsid w:val="00CB4563"/>
    <w:rsid w:val="00CE085C"/>
    <w:rsid w:val="00D22D3F"/>
    <w:rsid w:val="00D3183B"/>
    <w:rsid w:val="00D37DEC"/>
    <w:rsid w:val="00D43C5C"/>
    <w:rsid w:val="00D755E3"/>
    <w:rsid w:val="00DB178D"/>
    <w:rsid w:val="00DC5144"/>
    <w:rsid w:val="00DD43C2"/>
    <w:rsid w:val="00E03263"/>
    <w:rsid w:val="00E07BC5"/>
    <w:rsid w:val="00E111C5"/>
    <w:rsid w:val="00E32FAF"/>
    <w:rsid w:val="00E467E2"/>
    <w:rsid w:val="00E60FCF"/>
    <w:rsid w:val="00E61DC0"/>
    <w:rsid w:val="00E622D7"/>
    <w:rsid w:val="00E67BD1"/>
    <w:rsid w:val="00E70F23"/>
    <w:rsid w:val="00E7772A"/>
    <w:rsid w:val="00E851EC"/>
    <w:rsid w:val="00EA3919"/>
    <w:rsid w:val="00EC3D3C"/>
    <w:rsid w:val="00EE6553"/>
    <w:rsid w:val="00F04994"/>
    <w:rsid w:val="00F1265E"/>
    <w:rsid w:val="00F233EA"/>
    <w:rsid w:val="00F24B1D"/>
    <w:rsid w:val="00F25E1F"/>
    <w:rsid w:val="00F47A04"/>
    <w:rsid w:val="00F503F4"/>
    <w:rsid w:val="00F70A40"/>
    <w:rsid w:val="00FB225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character" w:styleId="UnresolvedMention">
    <w:name w:val="Unresolved Mention"/>
    <w:basedOn w:val="DefaultParagraphFont"/>
    <w:uiPriority w:val="99"/>
    <w:semiHidden/>
    <w:unhideWhenUsed/>
    <w:rsid w:val="00695137"/>
    <w:rPr>
      <w:color w:val="605E5C"/>
      <w:shd w:val="clear" w:color="auto" w:fill="E1DFDD"/>
    </w:rPr>
  </w:style>
  <w:style w:type="character" w:styleId="FollowedHyperlink">
    <w:name w:val="FollowedHyperlink"/>
    <w:basedOn w:val="DefaultParagraphFont"/>
    <w:uiPriority w:val="99"/>
    <w:semiHidden/>
    <w:unhideWhenUsed/>
    <w:rsid w:val="00A73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279533754">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18041163">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12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5</TotalTime>
  <Pages>5</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Emma Gordon</cp:lastModifiedBy>
  <cp:revision>6</cp:revision>
  <dcterms:created xsi:type="dcterms:W3CDTF">2023-04-03T17:17:00Z</dcterms:created>
  <dcterms:modified xsi:type="dcterms:W3CDTF">2023-04-21T10:31:00Z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2023-04-04T09:31:48Z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c44a804f-d92b-4d22-b31f-6a077c1d5b30</vt:lpwstr>
  </property>
  <property fmtid="{D5CDD505-2E9C-101B-9397-08002B2CF9AE}" pid="8" name="MSIP_Label_c69d85d5-6d9e-4305-a294-1f636ec0f2d6_ContentBits">
    <vt:lpwstr>0</vt:lpwstr>
  </property>
</Properties>
</file>