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4AF08" w14:textId="4E87CF4F" w:rsidR="003B056B" w:rsidRPr="00067E26" w:rsidRDefault="00F41597" w:rsidP="00413F89">
      <w:pPr>
        <w:spacing w:after="0" w:line="240" w:lineRule="auto"/>
        <w:jc w:val="both"/>
        <w:rPr>
          <w:rFonts w:cs="Arial"/>
          <w:color w:val="auto"/>
        </w:rPr>
      </w:pPr>
      <w:r w:rsidRPr="00067E26">
        <w:rPr>
          <w:rFonts w:cs="Arial"/>
          <w:color w:val="auto"/>
        </w:rPr>
        <w:t>FAO</w:t>
      </w:r>
      <w:r w:rsidR="001E1A1B" w:rsidRPr="00067E26">
        <w:rPr>
          <w:rFonts w:cs="Arial"/>
          <w:color w:val="auto"/>
        </w:rPr>
        <w:t xml:space="preserve"> </w:t>
      </w:r>
      <w:proofErr w:type="spellStart"/>
      <w:r w:rsidR="00F72B80" w:rsidRPr="00F72B80">
        <w:rPr>
          <w:rFonts w:cs="Arial"/>
          <w:color w:val="auto"/>
          <w:highlight w:val="black"/>
        </w:rPr>
        <w:t>xxxxxxxxxx</w:t>
      </w:r>
      <w:proofErr w:type="spellEnd"/>
    </w:p>
    <w:p w14:paraId="39DE9133" w14:textId="08B230AE" w:rsidR="00F41597" w:rsidRPr="00067E26" w:rsidRDefault="005255C5" w:rsidP="00413F89">
      <w:pPr>
        <w:spacing w:after="0" w:line="240" w:lineRule="auto"/>
        <w:jc w:val="both"/>
        <w:rPr>
          <w:rFonts w:cs="Arial"/>
          <w:color w:val="auto"/>
        </w:rPr>
      </w:pPr>
      <w:r w:rsidRPr="00067E26">
        <w:rPr>
          <w:rFonts w:cs="Arial"/>
          <w:color w:val="auto"/>
        </w:rPr>
        <w:t>Merck Sharp &amp; Dohme (UK) Ltd</w:t>
      </w:r>
    </w:p>
    <w:p w14:paraId="20BBB2EE" w14:textId="77777777" w:rsidR="003B056B" w:rsidRPr="00067E26" w:rsidRDefault="003B056B" w:rsidP="00413F89">
      <w:pPr>
        <w:spacing w:after="0" w:line="240" w:lineRule="auto"/>
        <w:jc w:val="both"/>
        <w:rPr>
          <w:rFonts w:cs="Arial"/>
          <w:color w:val="auto"/>
        </w:rPr>
      </w:pPr>
    </w:p>
    <w:p w14:paraId="5BCC1306" w14:textId="0EAEB400" w:rsidR="00C70019" w:rsidRPr="00067E26" w:rsidRDefault="00C70019" w:rsidP="00413F89">
      <w:pPr>
        <w:jc w:val="both"/>
        <w:rPr>
          <w:rStyle w:val="Hyperlink"/>
          <w:rFonts w:cs="Arial"/>
          <w:color w:val="auto"/>
        </w:rPr>
      </w:pPr>
      <w:r w:rsidRPr="00067E26">
        <w:rPr>
          <w:rFonts w:cs="Arial"/>
          <w:color w:val="auto"/>
        </w:rPr>
        <w:t xml:space="preserve">Sent by e-mail only: </w:t>
      </w:r>
      <w:hyperlink r:id="rId8" w:history="1">
        <w:proofErr w:type="spellStart"/>
        <w:r w:rsidR="00F72B80" w:rsidRPr="00F72B80">
          <w:rPr>
            <w:rStyle w:val="Hyperlink"/>
            <w:rFonts w:cs="Arial"/>
            <w:color w:val="auto"/>
            <w:highlight w:val="black"/>
          </w:rPr>
          <w:t>xxxxxxxxxxxxxxxxx</w:t>
        </w:r>
        <w:proofErr w:type="spellEnd"/>
      </w:hyperlink>
      <w:r w:rsidR="00791FF1" w:rsidRPr="00067E26">
        <w:rPr>
          <w:rFonts w:cs="Arial"/>
          <w:color w:val="auto"/>
        </w:rPr>
        <w:t xml:space="preserve"> </w:t>
      </w:r>
    </w:p>
    <w:p w14:paraId="3F02C0B8" w14:textId="15827EA8" w:rsidR="00C70019" w:rsidRPr="00067E26" w:rsidRDefault="00953CD9" w:rsidP="00413F89">
      <w:pPr>
        <w:jc w:val="both"/>
        <w:rPr>
          <w:rFonts w:cs="Arial"/>
          <w:color w:val="auto"/>
        </w:rPr>
      </w:pPr>
      <w:r>
        <w:rPr>
          <w:rFonts w:cs="Arial"/>
          <w:color w:val="auto"/>
        </w:rPr>
        <w:t>14 March 2023</w:t>
      </w:r>
    </w:p>
    <w:p w14:paraId="67A83021" w14:textId="6881DA38" w:rsidR="00C70019" w:rsidRPr="00067E26" w:rsidRDefault="00C70019" w:rsidP="00413F89">
      <w:pPr>
        <w:ind w:left="426" w:right="468" w:hanging="426"/>
        <w:jc w:val="both"/>
        <w:rPr>
          <w:rFonts w:cs="Arial"/>
          <w:noProof/>
          <w:color w:val="auto"/>
          <w:spacing w:val="-3"/>
          <w:lang w:eastAsia="en-GB"/>
        </w:rPr>
      </w:pPr>
      <w:bookmarkStart w:id="0" w:name="deartext"/>
      <w:r w:rsidRPr="00067E26">
        <w:rPr>
          <w:rFonts w:cs="Arial"/>
          <w:color w:val="auto"/>
        </w:rPr>
        <w:t>Dear</w:t>
      </w:r>
      <w:bookmarkEnd w:id="0"/>
      <w:r w:rsidRPr="00067E26">
        <w:rPr>
          <w:rFonts w:cs="Arial"/>
          <w:color w:val="auto"/>
        </w:rPr>
        <w:t xml:space="preserve"> </w:t>
      </w:r>
      <w:bookmarkStart w:id="1" w:name="Sal"/>
      <w:bookmarkEnd w:id="1"/>
      <w:proofErr w:type="spellStart"/>
      <w:r w:rsidR="00F72B80" w:rsidRPr="00F72B80">
        <w:rPr>
          <w:rFonts w:cs="Arial"/>
          <w:color w:val="auto"/>
          <w:highlight w:val="black"/>
        </w:rPr>
        <w:t>xxxxxxxxx</w:t>
      </w:r>
      <w:proofErr w:type="spellEnd"/>
    </w:p>
    <w:p w14:paraId="3A4B414C" w14:textId="64A31F14" w:rsidR="00003026" w:rsidRPr="00067E26" w:rsidRDefault="004A76D5" w:rsidP="00413F89">
      <w:pPr>
        <w:ind w:left="426" w:right="468" w:hanging="426"/>
        <w:jc w:val="both"/>
        <w:rPr>
          <w:rFonts w:cs="Arial"/>
          <w:b/>
          <w:color w:val="auto"/>
        </w:rPr>
      </w:pPr>
      <w:r w:rsidRPr="00067E26">
        <w:rPr>
          <w:rFonts w:cs="Arial"/>
          <w:noProof/>
          <w:color w:val="auto"/>
          <w:spacing w:val="-3"/>
          <w:lang w:eastAsia="en-GB"/>
        </w:rPr>
        <mc:AlternateContent>
          <mc:Choice Requires="wps">
            <w:drawing>
              <wp:anchor distT="4294967294" distB="4294967294" distL="114300" distR="114300" simplePos="0" relativeHeight="251659264" behindDoc="0" locked="0" layoutInCell="1" allowOverlap="1" wp14:anchorId="0EF87D43" wp14:editId="6DEA1E1F">
                <wp:simplePos x="0" y="0"/>
                <wp:positionH relativeFrom="column">
                  <wp:posOffset>-805815</wp:posOffset>
                </wp:positionH>
                <wp:positionV relativeFrom="paragraph">
                  <wp:posOffset>255269</wp:posOffset>
                </wp:positionV>
                <wp:extent cx="81915" cy="0"/>
                <wp:effectExtent l="0" t="0" r="323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915" cy="0"/>
                        </a:xfrm>
                        <a:prstGeom prst="line">
                          <a:avLst/>
                        </a:prstGeom>
                        <a:noFill/>
                        <a:ln w="3175" cap="flat" cmpd="sng" algn="ctr">
                          <a:solidFill>
                            <a:srgbClr val="505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70734F" id="Straight Connector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3.45pt,20.1pt" to="-5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" strokecolor="#505050" strokeweight=".25pt">
                <o:lock v:ext="edit" shapetype="f"/>
              </v:line>
            </w:pict>
          </mc:Fallback>
        </mc:AlternateContent>
      </w:r>
      <w:r w:rsidRPr="00067E26">
        <w:rPr>
          <w:rFonts w:cs="Arial"/>
          <w:b/>
          <w:color w:val="auto"/>
          <w:spacing w:val="-3"/>
        </w:rPr>
        <w:t xml:space="preserve">Re: </w:t>
      </w:r>
      <w:r w:rsidR="00C70019" w:rsidRPr="00067E26">
        <w:rPr>
          <w:rFonts w:cs="Arial"/>
          <w:b/>
          <w:color w:val="auto"/>
        </w:rPr>
        <w:t xml:space="preserve">Final </w:t>
      </w:r>
      <w:r w:rsidR="002D3F7D" w:rsidRPr="00067E26">
        <w:rPr>
          <w:rFonts w:cs="Arial"/>
          <w:b/>
          <w:color w:val="auto"/>
        </w:rPr>
        <w:t>Draft G</w:t>
      </w:r>
      <w:r w:rsidR="00333293" w:rsidRPr="00067E26">
        <w:rPr>
          <w:rFonts w:cs="Arial"/>
          <w:b/>
          <w:color w:val="auto"/>
        </w:rPr>
        <w:t>uidance</w:t>
      </w:r>
      <w:r w:rsidR="00C70019" w:rsidRPr="00067E26">
        <w:rPr>
          <w:rFonts w:cs="Arial"/>
          <w:b/>
          <w:color w:val="auto"/>
        </w:rPr>
        <w:t xml:space="preserve"> — </w:t>
      </w:r>
      <w:r w:rsidR="00333293" w:rsidRPr="00067E26">
        <w:rPr>
          <w:rFonts w:cs="Arial"/>
          <w:b/>
          <w:color w:val="auto"/>
        </w:rPr>
        <w:t>Therapeutics for</w:t>
      </w:r>
      <w:r w:rsidR="00D83B7F" w:rsidRPr="00067E26">
        <w:rPr>
          <w:rFonts w:cs="Arial"/>
          <w:b/>
          <w:color w:val="auto"/>
        </w:rPr>
        <w:t xml:space="preserve"> people with COVID-19 [ID 4038]</w:t>
      </w:r>
    </w:p>
    <w:p w14:paraId="7414DC3E" w14:textId="736EB06B" w:rsidR="00003026" w:rsidRPr="00067E26" w:rsidRDefault="000223BD" w:rsidP="00413F89">
      <w:pPr>
        <w:jc w:val="both"/>
        <w:rPr>
          <w:rFonts w:cs="Arial"/>
          <w:color w:val="auto"/>
        </w:rPr>
      </w:pPr>
      <w:r w:rsidRPr="00067E26">
        <w:rPr>
          <w:rFonts w:cs="Arial"/>
          <w:color w:val="auto"/>
        </w:rPr>
        <w:t xml:space="preserve">Thank you for your letter of </w:t>
      </w:r>
      <w:r w:rsidR="00791FF1" w:rsidRPr="00067E26">
        <w:rPr>
          <w:rFonts w:cs="Arial"/>
          <w:color w:val="auto"/>
        </w:rPr>
        <w:t>7 March 2023</w:t>
      </w:r>
      <w:r w:rsidRPr="00067E26">
        <w:rPr>
          <w:rFonts w:cs="Arial"/>
          <w:color w:val="auto"/>
        </w:rPr>
        <w:t xml:space="preserve">, lodging </w:t>
      </w:r>
      <w:r w:rsidR="00F4296D" w:rsidRPr="00067E26">
        <w:rPr>
          <w:rFonts w:cs="Arial"/>
          <w:color w:val="auto"/>
        </w:rPr>
        <w:t>an</w:t>
      </w:r>
      <w:r w:rsidRPr="00067E26">
        <w:rPr>
          <w:rFonts w:cs="Arial"/>
          <w:color w:val="auto"/>
        </w:rPr>
        <w:t xml:space="preserve"> appeal against the above Final </w:t>
      </w:r>
      <w:r w:rsidR="00333293" w:rsidRPr="00067E26">
        <w:rPr>
          <w:rFonts w:cs="Arial"/>
          <w:color w:val="auto"/>
        </w:rPr>
        <w:t xml:space="preserve">Draft Guidance </w:t>
      </w:r>
      <w:r w:rsidRPr="00067E26">
        <w:rPr>
          <w:rFonts w:cs="Arial"/>
          <w:color w:val="auto"/>
        </w:rPr>
        <w:t>(F</w:t>
      </w:r>
      <w:r w:rsidR="00333293" w:rsidRPr="00067E26">
        <w:rPr>
          <w:rFonts w:cs="Arial"/>
          <w:color w:val="auto"/>
        </w:rPr>
        <w:t>DG</w:t>
      </w:r>
      <w:r w:rsidRPr="00067E26">
        <w:rPr>
          <w:rFonts w:cs="Arial"/>
          <w:color w:val="auto"/>
        </w:rPr>
        <w:t xml:space="preserve">). </w:t>
      </w:r>
      <w:r w:rsidR="00262058" w:rsidRPr="00067E26">
        <w:rPr>
          <w:rFonts w:cs="Arial"/>
          <w:color w:val="auto"/>
        </w:rPr>
        <w:t xml:space="preserve"> </w:t>
      </w:r>
    </w:p>
    <w:p w14:paraId="5F523C58" w14:textId="77777777" w:rsidR="00C70019" w:rsidRPr="00067E26" w:rsidRDefault="00C70019" w:rsidP="00413F89">
      <w:pPr>
        <w:jc w:val="both"/>
        <w:rPr>
          <w:rFonts w:cs="Arial"/>
          <w:color w:val="auto"/>
        </w:rPr>
      </w:pPr>
      <w:r w:rsidRPr="00067E26">
        <w:rPr>
          <w:rFonts w:cs="Arial"/>
          <w:color w:val="auto"/>
          <w:u w:val="single"/>
        </w:rPr>
        <w:t>Introduction</w:t>
      </w:r>
      <w:r w:rsidRPr="00067E26">
        <w:rPr>
          <w:rFonts w:cs="Arial"/>
          <w:color w:val="auto"/>
        </w:rPr>
        <w:t xml:space="preserve"> </w:t>
      </w:r>
    </w:p>
    <w:p w14:paraId="70E1E5B1" w14:textId="2DBAE3FD" w:rsidR="00C70019" w:rsidRPr="00067E26" w:rsidRDefault="00C70019" w:rsidP="00413F89">
      <w:pPr>
        <w:jc w:val="both"/>
        <w:rPr>
          <w:rFonts w:cs="Arial"/>
          <w:color w:val="auto"/>
        </w:rPr>
      </w:pPr>
      <w:r w:rsidRPr="00067E26">
        <w:rPr>
          <w:rFonts w:cs="Arial"/>
          <w:color w:val="auto"/>
        </w:rPr>
        <w:t xml:space="preserve">The Institute's appeal procedures provide for an initial scrutiny of points that an appellant wishes to raise, to </w:t>
      </w:r>
      <w:r w:rsidR="006B6C22" w:rsidRPr="00067E26">
        <w:rPr>
          <w:rFonts w:cs="Arial"/>
          <w:color w:val="auto"/>
        </w:rPr>
        <w:t>provide an initial view on whether</w:t>
      </w:r>
      <w:r w:rsidRPr="00067E26">
        <w:rPr>
          <w:rFonts w:cs="Arial"/>
          <w:color w:val="auto"/>
        </w:rPr>
        <w:t xml:space="preserve"> they are within the permitted grounds of appeal ("valid")</w:t>
      </w:r>
      <w:r w:rsidR="006B6C22" w:rsidRPr="00067E26">
        <w:rPr>
          <w:rFonts w:cs="Arial"/>
          <w:color w:val="auto"/>
        </w:rPr>
        <w:t xml:space="preserve"> and are at least arguable</w:t>
      </w:r>
      <w:r w:rsidRPr="00067E26">
        <w:rPr>
          <w:rFonts w:cs="Arial"/>
          <w:color w:val="auto"/>
        </w:rPr>
        <w:t xml:space="preserve">. The permitted grounds of appeal are: </w:t>
      </w:r>
    </w:p>
    <w:p w14:paraId="25359C75" w14:textId="77777777" w:rsidR="00C70019" w:rsidRPr="00067E26" w:rsidRDefault="00C70019" w:rsidP="00413F89">
      <w:pPr>
        <w:numPr>
          <w:ilvl w:val="0"/>
          <w:numId w:val="2"/>
        </w:numPr>
        <w:shd w:val="clear" w:color="auto" w:fill="FFFFFF"/>
        <w:spacing w:before="240" w:after="240" w:line="240" w:lineRule="auto"/>
        <w:jc w:val="both"/>
        <w:rPr>
          <w:rFonts w:cs="Arial"/>
          <w:color w:val="auto"/>
        </w:rPr>
      </w:pPr>
      <w:r w:rsidRPr="00067E26">
        <w:rPr>
          <w:rFonts w:cs="Arial"/>
          <w:color w:val="auto"/>
        </w:rPr>
        <w:t xml:space="preserve">1(a) NICE has failed to act fairly, or </w:t>
      </w:r>
    </w:p>
    <w:p w14:paraId="14BFF060" w14:textId="77777777" w:rsidR="00C70019" w:rsidRPr="00067E26" w:rsidRDefault="00C70019" w:rsidP="00413F89">
      <w:pPr>
        <w:numPr>
          <w:ilvl w:val="0"/>
          <w:numId w:val="2"/>
        </w:numPr>
        <w:shd w:val="clear" w:color="auto" w:fill="FFFFFF"/>
        <w:spacing w:before="240" w:after="240" w:line="240" w:lineRule="auto"/>
        <w:jc w:val="both"/>
        <w:rPr>
          <w:rFonts w:cs="Arial"/>
          <w:color w:val="auto"/>
        </w:rPr>
      </w:pPr>
      <w:r w:rsidRPr="00067E26">
        <w:rPr>
          <w:rFonts w:cs="Arial"/>
          <w:color w:val="auto"/>
        </w:rPr>
        <w:t>1(b) NICE has exceeded powers;</w:t>
      </w:r>
    </w:p>
    <w:p w14:paraId="22754B60" w14:textId="77777777" w:rsidR="00C70019" w:rsidRPr="00067E26" w:rsidRDefault="00C70019" w:rsidP="00413F89">
      <w:pPr>
        <w:numPr>
          <w:ilvl w:val="0"/>
          <w:numId w:val="2"/>
        </w:numPr>
        <w:shd w:val="clear" w:color="auto" w:fill="FFFFFF"/>
        <w:spacing w:before="240" w:after="240" w:line="240" w:lineRule="auto"/>
        <w:jc w:val="both"/>
        <w:rPr>
          <w:rFonts w:cs="Arial"/>
          <w:color w:val="auto"/>
        </w:rPr>
      </w:pPr>
      <w:r w:rsidRPr="00067E26">
        <w:rPr>
          <w:rFonts w:cs="Arial"/>
          <w:color w:val="auto"/>
        </w:rPr>
        <w:t>(2) the recommendation is unreasonable in the light of the evidence submitted to NICE</w:t>
      </w:r>
      <w:r w:rsidR="006347AD" w:rsidRPr="00067E26">
        <w:rPr>
          <w:rFonts w:cs="Arial"/>
          <w:color w:val="auto"/>
        </w:rPr>
        <w:t>.</w:t>
      </w:r>
    </w:p>
    <w:p w14:paraId="08D953B5" w14:textId="25297E74" w:rsidR="00C70019" w:rsidRPr="00067E26" w:rsidRDefault="00C70019" w:rsidP="00413F89">
      <w:pPr>
        <w:jc w:val="both"/>
        <w:rPr>
          <w:rFonts w:cs="Arial"/>
          <w:color w:val="auto"/>
        </w:rPr>
      </w:pPr>
      <w:r w:rsidRPr="00067E26">
        <w:rPr>
          <w:rFonts w:cs="Arial"/>
          <w:color w:val="auto"/>
        </w:rPr>
        <w:t>This letter sets out my initial view of the points of appeal you have raised: principally whether they fall within any of the grounds of appeal, or whether further clarification is required of any point. Only if I am satisfied that your points contain the necessary information</w:t>
      </w:r>
      <w:r w:rsidR="00F41597" w:rsidRPr="00067E26">
        <w:rPr>
          <w:rFonts w:cs="Arial"/>
          <w:color w:val="auto"/>
        </w:rPr>
        <w:t>, are arguable, and</w:t>
      </w:r>
      <w:r w:rsidRPr="00067E26">
        <w:rPr>
          <w:rFonts w:cs="Arial"/>
          <w:color w:val="auto"/>
        </w:rPr>
        <w:t xml:space="preserve"> fall within any one of the grounds will your appeal be referred to the Appeal Panel. </w:t>
      </w:r>
    </w:p>
    <w:p w14:paraId="146CF237" w14:textId="77777777" w:rsidR="00C70019" w:rsidRPr="00067E26" w:rsidRDefault="00C70019" w:rsidP="00413F89">
      <w:pPr>
        <w:jc w:val="both"/>
        <w:rPr>
          <w:rFonts w:cs="Arial"/>
          <w:color w:val="auto"/>
        </w:rPr>
      </w:pPr>
      <w:r w:rsidRPr="00067E26">
        <w:rPr>
          <w:rFonts w:cs="Arial"/>
          <w:color w:val="auto"/>
        </w:rPr>
        <w:t xml:space="preserve">You have the opportunity to comment on this letter in order to elaborate on or clarify any of the points raised before I will make my final decision as to whether each appeal point should be referred on to the Appeal Panel. </w:t>
      </w:r>
    </w:p>
    <w:p w14:paraId="3294E8F2" w14:textId="77777777" w:rsidR="00C70019" w:rsidRPr="00067E26" w:rsidRDefault="00C70019" w:rsidP="00413F89">
      <w:pPr>
        <w:jc w:val="both"/>
        <w:rPr>
          <w:rFonts w:cs="Arial"/>
          <w:color w:val="auto"/>
          <w:u w:val="single"/>
        </w:rPr>
      </w:pPr>
      <w:r w:rsidRPr="00067E26">
        <w:rPr>
          <w:rFonts w:cs="Arial"/>
          <w:color w:val="auto"/>
          <w:u w:val="single"/>
        </w:rPr>
        <w:t>Initial View</w:t>
      </w:r>
    </w:p>
    <w:p w14:paraId="15B951E6" w14:textId="4A8D7BE4" w:rsidR="00262058" w:rsidRPr="00067E26" w:rsidRDefault="00BB43EC" w:rsidP="00413F89">
      <w:pPr>
        <w:jc w:val="both"/>
        <w:rPr>
          <w:rFonts w:cs="Arial"/>
          <w:color w:val="auto"/>
        </w:rPr>
      </w:pPr>
      <w:r w:rsidRPr="00067E26">
        <w:rPr>
          <w:rFonts w:cs="Arial"/>
          <w:color w:val="auto"/>
        </w:rPr>
        <w:t>I</w:t>
      </w:r>
      <w:r w:rsidR="00C70019" w:rsidRPr="00067E26">
        <w:rPr>
          <w:rFonts w:cs="Arial"/>
          <w:color w:val="auto"/>
        </w:rPr>
        <w:t xml:space="preserve"> assess each of your </w:t>
      </w:r>
      <w:r w:rsidR="00B36320" w:rsidRPr="00067E26">
        <w:rPr>
          <w:rFonts w:cs="Arial"/>
          <w:color w:val="auto"/>
        </w:rPr>
        <w:t xml:space="preserve">points </w:t>
      </w:r>
      <w:r w:rsidR="00C70019" w:rsidRPr="00067E26">
        <w:rPr>
          <w:rFonts w:cs="Arial"/>
          <w:color w:val="auto"/>
        </w:rPr>
        <w:t xml:space="preserve">in turn.  </w:t>
      </w:r>
    </w:p>
    <w:p w14:paraId="19DD05FB" w14:textId="77777777" w:rsidR="00F64AF3" w:rsidRPr="00067E26" w:rsidRDefault="00F64AF3" w:rsidP="00F64AF3">
      <w:pPr>
        <w:spacing w:before="240" w:after="240" w:line="276" w:lineRule="auto"/>
        <w:jc w:val="both"/>
        <w:rPr>
          <w:rFonts w:cs="Arial"/>
          <w:b/>
          <w:color w:val="auto"/>
          <w:u w:val="single"/>
        </w:rPr>
      </w:pPr>
      <w:r w:rsidRPr="00067E26">
        <w:rPr>
          <w:rFonts w:cs="Arial"/>
          <w:b/>
          <w:i/>
          <w:color w:val="auto"/>
        </w:rPr>
        <w:t>Ground 1a: In making the assessment that preceded the recommendation, NICE has failed to act fairly</w:t>
      </w:r>
      <w:r w:rsidRPr="00067E26">
        <w:rPr>
          <w:rFonts w:cs="Arial"/>
          <w:b/>
          <w:color w:val="auto"/>
          <w:u w:val="single"/>
        </w:rPr>
        <w:t xml:space="preserve"> </w:t>
      </w:r>
    </w:p>
    <w:p w14:paraId="4DA05162" w14:textId="63248E6B" w:rsidR="00B11119" w:rsidRPr="00067E26" w:rsidRDefault="00B11119" w:rsidP="00413F89">
      <w:pPr>
        <w:spacing w:before="240" w:after="240" w:line="276" w:lineRule="auto"/>
        <w:jc w:val="both"/>
        <w:rPr>
          <w:rFonts w:cs="Arial"/>
          <w:b/>
          <w:color w:val="auto"/>
          <w:u w:val="single"/>
        </w:rPr>
      </w:pPr>
      <w:r w:rsidRPr="00067E26">
        <w:rPr>
          <w:rFonts w:cs="Arial"/>
          <w:b/>
          <w:color w:val="auto"/>
          <w:u w:val="single"/>
        </w:rPr>
        <w:t xml:space="preserve">Appeal point </w:t>
      </w:r>
      <w:r w:rsidR="00E855E3" w:rsidRPr="00067E26">
        <w:rPr>
          <w:rFonts w:cs="Arial"/>
          <w:b/>
          <w:color w:val="auto"/>
          <w:u w:val="single"/>
        </w:rPr>
        <w:t>1</w:t>
      </w:r>
      <w:r w:rsidR="00033E75" w:rsidRPr="00067E26">
        <w:rPr>
          <w:rFonts w:cs="Arial"/>
          <w:b/>
          <w:color w:val="auto"/>
          <w:u w:val="single"/>
        </w:rPr>
        <w:t>(</w:t>
      </w:r>
      <w:r w:rsidR="00C93142" w:rsidRPr="00067E26">
        <w:rPr>
          <w:rFonts w:cs="Arial"/>
          <w:b/>
          <w:color w:val="auto"/>
          <w:u w:val="single"/>
        </w:rPr>
        <w:t>a</w:t>
      </w:r>
      <w:r w:rsidR="00033E75" w:rsidRPr="00067E26">
        <w:rPr>
          <w:rFonts w:cs="Arial"/>
          <w:b/>
          <w:color w:val="auto"/>
          <w:u w:val="single"/>
        </w:rPr>
        <w:t>)</w:t>
      </w:r>
      <w:r w:rsidR="00C53674" w:rsidRPr="00067E26">
        <w:rPr>
          <w:rFonts w:cs="Arial"/>
          <w:b/>
          <w:color w:val="auto"/>
          <w:u w:val="single"/>
        </w:rPr>
        <w:t>.1</w:t>
      </w:r>
      <w:r w:rsidR="00E855E3" w:rsidRPr="00067E26">
        <w:rPr>
          <w:rFonts w:cs="Arial"/>
          <w:b/>
          <w:color w:val="auto"/>
          <w:u w:val="single"/>
        </w:rPr>
        <w:t xml:space="preserve">; </w:t>
      </w:r>
      <w:r w:rsidR="00C93142" w:rsidRPr="00067E26">
        <w:rPr>
          <w:rFonts w:cs="Arial"/>
          <w:b/>
          <w:color w:val="auto"/>
          <w:u w:val="single"/>
        </w:rPr>
        <w:t>NICE has followed an ad hoc process and departed significantly from established procedures for MTAs</w:t>
      </w:r>
    </w:p>
    <w:p w14:paraId="5BC097B5" w14:textId="49870B0F" w:rsidR="0001395E" w:rsidRPr="00067E26" w:rsidRDefault="003478F6" w:rsidP="003478F6">
      <w:pPr>
        <w:pStyle w:val="BodyText"/>
        <w:jc w:val="both"/>
        <w:rPr>
          <w:rFonts w:cs="Arial"/>
          <w:color w:val="auto"/>
        </w:rPr>
      </w:pPr>
      <w:r w:rsidRPr="00067E26">
        <w:rPr>
          <w:rFonts w:cs="Arial"/>
          <w:color w:val="auto"/>
        </w:rPr>
        <w:t xml:space="preserve">I </w:t>
      </w:r>
      <w:r w:rsidR="004957FB" w:rsidRPr="00067E26">
        <w:rPr>
          <w:rFonts w:cs="Arial"/>
          <w:color w:val="auto"/>
        </w:rPr>
        <w:t>am</w:t>
      </w:r>
      <w:r w:rsidRPr="00067E26">
        <w:rPr>
          <w:rFonts w:cs="Arial"/>
          <w:color w:val="auto"/>
        </w:rPr>
        <w:t xml:space="preserve"> minded to refer this appeal point to the Appeal Panel</w:t>
      </w:r>
      <w:r w:rsidR="0071187D" w:rsidRPr="00067E26">
        <w:rPr>
          <w:rFonts w:cs="Arial"/>
          <w:color w:val="auto"/>
        </w:rPr>
        <w:t xml:space="preserve">,  </w:t>
      </w:r>
      <w:r w:rsidR="00805370" w:rsidRPr="00067E26">
        <w:rPr>
          <w:rFonts w:cs="Arial"/>
          <w:color w:val="auto"/>
        </w:rPr>
        <w:t xml:space="preserve">save </w:t>
      </w:r>
      <w:r w:rsidR="00DA3617" w:rsidRPr="00067E26">
        <w:rPr>
          <w:rFonts w:cs="Arial"/>
          <w:color w:val="auto"/>
        </w:rPr>
        <w:t>for</w:t>
      </w:r>
      <w:r w:rsidR="00805370" w:rsidRPr="00067E26">
        <w:rPr>
          <w:rFonts w:cs="Arial"/>
          <w:color w:val="auto"/>
        </w:rPr>
        <w:t xml:space="preserve"> any challenge against NICE’s published processes (i.e. the Manual and Process Statement) themselves, as opposed to the </w:t>
      </w:r>
      <w:r w:rsidR="00805370" w:rsidRPr="00067E26">
        <w:rPr>
          <w:rFonts w:cs="Arial"/>
          <w:color w:val="auto"/>
        </w:rPr>
        <w:lastRenderedPageBreak/>
        <w:t xml:space="preserve">Committee’s compliance with </w:t>
      </w:r>
      <w:r w:rsidR="0071187D" w:rsidRPr="00067E26">
        <w:rPr>
          <w:rFonts w:cs="Arial"/>
          <w:color w:val="auto"/>
        </w:rPr>
        <w:t>the</w:t>
      </w:r>
      <w:r w:rsidR="00805370" w:rsidRPr="00067E26">
        <w:rPr>
          <w:rFonts w:cs="Arial"/>
          <w:color w:val="auto"/>
        </w:rPr>
        <w:t xml:space="preserve"> processes</w:t>
      </w:r>
      <w:r w:rsidR="0071187D" w:rsidRPr="00067E26">
        <w:rPr>
          <w:rFonts w:cs="Arial"/>
          <w:color w:val="auto"/>
        </w:rPr>
        <w:t xml:space="preserve"> set out in those documents</w:t>
      </w:r>
      <w:r w:rsidR="00DA3617" w:rsidRPr="00067E26">
        <w:rPr>
          <w:rFonts w:cs="Arial"/>
          <w:color w:val="auto"/>
        </w:rPr>
        <w:t xml:space="preserve">. That is because I consider </w:t>
      </w:r>
      <w:r w:rsidR="00805370" w:rsidRPr="00067E26">
        <w:rPr>
          <w:rFonts w:cs="Arial"/>
          <w:color w:val="auto"/>
        </w:rPr>
        <w:t>i</w:t>
      </w:r>
      <w:r w:rsidR="00093693" w:rsidRPr="00067E26">
        <w:rPr>
          <w:color w:val="auto"/>
        </w:rPr>
        <w:t>f</w:t>
      </w:r>
      <w:r w:rsidR="00093693" w:rsidRPr="00067E26">
        <w:rPr>
          <w:rFonts w:cs="Arial"/>
          <w:color w:val="auto"/>
        </w:rPr>
        <w:t xml:space="preserve"> an appellant wishes to challenge the processes set out in the Manual and Process Statement (i.e. the steps that the Manual requires and the sequencing and timing set out in the Process Statement), as opposed to the committee’s compliance with those processes, then that is outside of the scope of the appeals process and would be a matter for NICE.</w:t>
      </w:r>
    </w:p>
    <w:p w14:paraId="4565EA49" w14:textId="2DEC12D9" w:rsidR="00DF62C5" w:rsidRPr="00067E26" w:rsidRDefault="00DF62C5" w:rsidP="00DF62C5">
      <w:pPr>
        <w:pStyle w:val="StyleParagraph11pt"/>
        <w:rPr>
          <w:sz w:val="20"/>
          <w:szCs w:val="20"/>
        </w:rPr>
      </w:pPr>
      <w:r w:rsidRPr="00067E26">
        <w:rPr>
          <w:sz w:val="20"/>
          <w:szCs w:val="20"/>
        </w:rPr>
        <w:t xml:space="preserve">I am mindful of the </w:t>
      </w:r>
      <w:r w:rsidR="006F5AF9" w:rsidRPr="00067E26">
        <w:rPr>
          <w:sz w:val="20"/>
          <w:szCs w:val="20"/>
        </w:rPr>
        <w:t xml:space="preserve">company’s </w:t>
      </w:r>
      <w:r w:rsidRPr="00067E26">
        <w:rPr>
          <w:sz w:val="20"/>
          <w:szCs w:val="20"/>
        </w:rPr>
        <w:t xml:space="preserve">view that alleged departures were caused by NICE’s resequencing and/or shortening of NICE’s usual timelines in accordance with the Process Statement. That resequencing and/or shortening in itself cannot in my view be the subject of an appeal point, however I am minded to agree that </w:t>
      </w:r>
      <w:r w:rsidR="00C36434">
        <w:rPr>
          <w:sz w:val="20"/>
          <w:szCs w:val="20"/>
        </w:rPr>
        <w:t>an Appeal</w:t>
      </w:r>
      <w:r w:rsidR="00C36434" w:rsidRPr="00067E26">
        <w:rPr>
          <w:sz w:val="20"/>
          <w:szCs w:val="20"/>
        </w:rPr>
        <w:t xml:space="preserve"> </w:t>
      </w:r>
      <w:r w:rsidRPr="00067E26">
        <w:rPr>
          <w:sz w:val="20"/>
          <w:szCs w:val="20"/>
        </w:rPr>
        <w:t xml:space="preserve">Panel can properly explore whether the approach taken departed from the requirements of the Manual and Process Statement. </w:t>
      </w:r>
    </w:p>
    <w:p w14:paraId="42894A35" w14:textId="77777777" w:rsidR="00AC3C9C" w:rsidRPr="00067E26" w:rsidRDefault="006F5AF9" w:rsidP="00AC3C9C">
      <w:pPr>
        <w:pStyle w:val="StyleParagraph11pt"/>
        <w:rPr>
          <w:sz w:val="20"/>
          <w:szCs w:val="20"/>
        </w:rPr>
      </w:pPr>
      <w:r w:rsidRPr="00067E26">
        <w:rPr>
          <w:sz w:val="20"/>
          <w:szCs w:val="20"/>
        </w:rPr>
        <w:t xml:space="preserve">My initial view is that the appeal point to put to the Appeal Panel should therefore read: </w:t>
      </w:r>
    </w:p>
    <w:p w14:paraId="40B57CB0" w14:textId="61393261" w:rsidR="00AC3C9C" w:rsidRPr="00067E26" w:rsidRDefault="006F5AF9" w:rsidP="00067E26">
      <w:pPr>
        <w:pStyle w:val="StyleParagraph11pt"/>
        <w:ind w:left="360"/>
        <w:rPr>
          <w:i/>
          <w:iCs/>
          <w:sz w:val="20"/>
          <w:szCs w:val="20"/>
        </w:rPr>
      </w:pPr>
      <w:r w:rsidRPr="00067E26">
        <w:rPr>
          <w:sz w:val="20"/>
          <w:szCs w:val="20"/>
        </w:rPr>
        <w:t>“</w:t>
      </w:r>
      <w:r w:rsidRPr="00067E26">
        <w:rPr>
          <w:i/>
          <w:iCs/>
          <w:sz w:val="20"/>
          <w:szCs w:val="20"/>
        </w:rPr>
        <w:t>NICE has failed to act fairly because it has departed significantly from the requirements of the Manual and/or the Process Statement.</w:t>
      </w:r>
      <w:r w:rsidR="00AC3C9C" w:rsidRPr="00067E26">
        <w:rPr>
          <w:i/>
          <w:iCs/>
          <w:sz w:val="20"/>
          <w:szCs w:val="20"/>
        </w:rPr>
        <w:t xml:space="preserve">  In particular:</w:t>
      </w:r>
    </w:p>
    <w:p w14:paraId="011689DD" w14:textId="123CD4FA" w:rsidR="00AC3C9C" w:rsidRPr="00067E26" w:rsidRDefault="00AC3C9C" w:rsidP="00067E26">
      <w:pPr>
        <w:pStyle w:val="StyleParagraph11pt"/>
        <w:numPr>
          <w:ilvl w:val="0"/>
          <w:numId w:val="2"/>
        </w:numPr>
        <w:tabs>
          <w:tab w:val="clear" w:pos="720"/>
          <w:tab w:val="num" w:pos="1080"/>
        </w:tabs>
        <w:ind w:left="1080"/>
        <w:rPr>
          <w:i/>
          <w:iCs/>
          <w:sz w:val="20"/>
          <w:szCs w:val="20"/>
        </w:rPr>
      </w:pPr>
      <w:r w:rsidRPr="00067E26">
        <w:rPr>
          <w:i/>
          <w:iCs/>
          <w:sz w:val="20"/>
          <w:szCs w:val="20"/>
        </w:rPr>
        <w:t>the Appraisal Committee and the External Assessment Group (“EAG”) are said to have applied a less rigorous standard and methodology of review than is required under a conventional MTA, as set out in Appendix 1 of MSD’s letter.</w:t>
      </w:r>
    </w:p>
    <w:p w14:paraId="526AF339" w14:textId="5516084E" w:rsidR="00AC3C9C" w:rsidRPr="00067E26" w:rsidRDefault="00AC3C9C" w:rsidP="00067E26">
      <w:pPr>
        <w:pStyle w:val="StyleParagraph11pt"/>
        <w:numPr>
          <w:ilvl w:val="0"/>
          <w:numId w:val="2"/>
        </w:numPr>
        <w:tabs>
          <w:tab w:val="clear" w:pos="720"/>
          <w:tab w:val="num" w:pos="1080"/>
        </w:tabs>
        <w:ind w:left="1080"/>
        <w:rPr>
          <w:sz w:val="20"/>
          <w:szCs w:val="20"/>
        </w:rPr>
      </w:pPr>
      <w:r w:rsidRPr="00067E26">
        <w:rPr>
          <w:i/>
          <w:iCs/>
          <w:sz w:val="20"/>
          <w:szCs w:val="20"/>
        </w:rPr>
        <w:t>the Process Statement for ID4038 committed the EAG to carrying out a systematic evidence review, in accordance with the Guidance Manual. In practice, it is said that the process for gathering and reviewing was selective and any additional evidence submitted by consultees did not receive proper attention or review at different appraisal stages that could have facilitated engagement between companies and NICE.</w:t>
      </w:r>
      <w:r w:rsidRPr="00067E26">
        <w:rPr>
          <w:sz w:val="20"/>
          <w:szCs w:val="20"/>
        </w:rPr>
        <w:t>”</w:t>
      </w:r>
    </w:p>
    <w:p w14:paraId="39877C10" w14:textId="7BB5E00D" w:rsidR="00DD570B" w:rsidRPr="00067E26" w:rsidRDefault="00AC3C9C" w:rsidP="003478F6">
      <w:pPr>
        <w:pStyle w:val="BodyText"/>
        <w:jc w:val="both"/>
        <w:rPr>
          <w:rFonts w:cs="Arial"/>
          <w:color w:val="auto"/>
        </w:rPr>
      </w:pPr>
      <w:r w:rsidRPr="00067E26">
        <w:rPr>
          <w:rFonts w:cs="Arial"/>
          <w:color w:val="auto"/>
        </w:rPr>
        <w:t>To assist your review</w:t>
      </w:r>
      <w:r w:rsidR="00950081" w:rsidRPr="00067E26">
        <w:rPr>
          <w:rFonts w:cs="Arial"/>
          <w:color w:val="auto"/>
        </w:rPr>
        <w:t xml:space="preserve"> and response to my initial view, my more detailed</w:t>
      </w:r>
      <w:r w:rsidR="00DD570B" w:rsidRPr="00067E26">
        <w:rPr>
          <w:rFonts w:cs="Arial"/>
          <w:color w:val="auto"/>
        </w:rPr>
        <w:t xml:space="preserve"> </w:t>
      </w:r>
      <w:r w:rsidR="00E239B3" w:rsidRPr="00067E26">
        <w:rPr>
          <w:rFonts w:cs="Arial"/>
          <w:color w:val="auto"/>
        </w:rPr>
        <w:t>respon</w:t>
      </w:r>
      <w:r w:rsidR="00950081" w:rsidRPr="00067E26">
        <w:rPr>
          <w:rFonts w:cs="Arial"/>
          <w:color w:val="auto"/>
        </w:rPr>
        <w:t>se to your</w:t>
      </w:r>
      <w:r w:rsidR="00DD570B" w:rsidRPr="00067E26">
        <w:rPr>
          <w:rFonts w:cs="Arial"/>
          <w:color w:val="auto"/>
        </w:rPr>
        <w:t xml:space="preserve"> argument</w:t>
      </w:r>
      <w:r w:rsidR="00265E9A" w:rsidRPr="00067E26">
        <w:rPr>
          <w:rFonts w:cs="Arial"/>
          <w:color w:val="auto"/>
        </w:rPr>
        <w:t>s</w:t>
      </w:r>
      <w:r w:rsidR="00950081" w:rsidRPr="00067E26">
        <w:rPr>
          <w:rFonts w:cs="Arial"/>
          <w:color w:val="auto"/>
        </w:rPr>
        <w:t xml:space="preserve"> under the ground are as follows</w:t>
      </w:r>
      <w:r w:rsidR="00DD570B" w:rsidRPr="00067E26">
        <w:rPr>
          <w:rFonts w:cs="Arial"/>
          <w:color w:val="auto"/>
        </w:rPr>
        <w:t xml:space="preserve">: </w:t>
      </w:r>
    </w:p>
    <w:p w14:paraId="20DF0CA0" w14:textId="16E44695" w:rsidR="00881EFF" w:rsidRPr="00067E26" w:rsidRDefault="00DF18AA" w:rsidP="003A3049">
      <w:pPr>
        <w:pStyle w:val="BodyText"/>
        <w:numPr>
          <w:ilvl w:val="0"/>
          <w:numId w:val="36"/>
        </w:numPr>
        <w:jc w:val="both"/>
        <w:rPr>
          <w:rFonts w:cs="Arial"/>
          <w:color w:val="auto"/>
        </w:rPr>
      </w:pPr>
      <w:r w:rsidRPr="00067E26">
        <w:rPr>
          <w:rFonts w:cs="Arial"/>
          <w:i/>
          <w:iCs/>
          <w:color w:val="auto"/>
        </w:rPr>
        <w:t>“</w:t>
      </w:r>
      <w:r w:rsidR="002D5570" w:rsidRPr="00067E26">
        <w:rPr>
          <w:rFonts w:cs="Arial"/>
          <w:i/>
          <w:iCs/>
          <w:color w:val="auto"/>
        </w:rPr>
        <w:t>ID4038 has not simply been a “re-sequenced” MTA (without conceding that it is open to NICE to re-sequence an MTA), but rather has followed an ad hoc, light touch programme which departs so significantly from the established procedures for technology appraisals under the NICE Health Technology Evaluations Manual (the “Guidance Manual”) that it cannot in truth be called an MTA at all.</w:t>
      </w:r>
      <w:r w:rsidRPr="00067E26">
        <w:rPr>
          <w:rFonts w:cs="Arial"/>
          <w:i/>
          <w:iCs/>
          <w:color w:val="auto"/>
        </w:rPr>
        <w:t>”</w:t>
      </w:r>
    </w:p>
    <w:p w14:paraId="6CDE5321" w14:textId="5CC01AAF" w:rsidR="00881EFF" w:rsidRPr="00067E26" w:rsidRDefault="00DD570B" w:rsidP="00881EFF">
      <w:pPr>
        <w:pStyle w:val="BodyText"/>
        <w:ind w:left="720"/>
        <w:jc w:val="both"/>
        <w:rPr>
          <w:rFonts w:cs="Arial"/>
          <w:i/>
          <w:iCs/>
          <w:color w:val="auto"/>
        </w:rPr>
      </w:pPr>
      <w:r w:rsidRPr="00067E26">
        <w:rPr>
          <w:rFonts w:cs="Arial"/>
          <w:color w:val="auto"/>
        </w:rPr>
        <w:t xml:space="preserve">I am not minded to refer an argument that the appraisal was </w:t>
      </w:r>
      <w:r w:rsidR="00106579" w:rsidRPr="00067E26">
        <w:rPr>
          <w:rFonts w:cs="Arial"/>
          <w:color w:val="auto"/>
        </w:rPr>
        <w:t xml:space="preserve">not an MTA at all. </w:t>
      </w:r>
      <w:r w:rsidR="00E239B3" w:rsidRPr="00067E26">
        <w:rPr>
          <w:rFonts w:cs="Arial"/>
          <w:color w:val="auto"/>
        </w:rPr>
        <w:t>This is outside of the scope of the appeals process and would be a matter for NICE</w:t>
      </w:r>
      <w:r w:rsidR="00E25CE4" w:rsidRPr="00067E26">
        <w:rPr>
          <w:rFonts w:cs="Arial"/>
          <w:color w:val="auto"/>
        </w:rPr>
        <w:t>.</w:t>
      </w:r>
      <w:r w:rsidR="00881EFF" w:rsidRPr="00067E26">
        <w:rPr>
          <w:rFonts w:cs="Arial"/>
          <w:color w:val="auto"/>
        </w:rPr>
        <w:t xml:space="preserve">  The same applies to your arguments that:</w:t>
      </w:r>
    </w:p>
    <w:p w14:paraId="246CA935" w14:textId="0B615075" w:rsidR="00881EFF" w:rsidRPr="00067E26" w:rsidRDefault="00DF18AA" w:rsidP="00881EFF">
      <w:pPr>
        <w:pStyle w:val="BodyText"/>
        <w:numPr>
          <w:ilvl w:val="1"/>
          <w:numId w:val="36"/>
        </w:numPr>
        <w:jc w:val="both"/>
        <w:rPr>
          <w:rFonts w:cs="Arial"/>
          <w:i/>
          <w:iCs/>
          <w:color w:val="auto"/>
        </w:rPr>
      </w:pPr>
      <w:r w:rsidRPr="00067E26">
        <w:rPr>
          <w:rFonts w:cs="Arial"/>
          <w:i/>
          <w:iCs/>
          <w:color w:val="auto"/>
        </w:rPr>
        <w:t>“</w:t>
      </w:r>
      <w:r w:rsidR="00881EFF" w:rsidRPr="00067E26">
        <w:rPr>
          <w:rFonts w:cs="Arial"/>
          <w:i/>
          <w:iCs/>
          <w:color w:val="auto"/>
        </w:rPr>
        <w:t>the output of an appraisal process that does not follow published procedures cannot deliver a “technology appraisal recommendation” under law and would not carry the same legal effect as such. One must question what the legal effect of ID4038 is and whether it should be promulgated as an “MTA”</w:t>
      </w:r>
      <w:r w:rsidRPr="00067E26">
        <w:rPr>
          <w:rFonts w:cs="Arial"/>
          <w:i/>
          <w:iCs/>
          <w:color w:val="auto"/>
        </w:rPr>
        <w:t>”</w:t>
      </w:r>
      <w:r w:rsidR="00881EFF" w:rsidRPr="00067E26">
        <w:rPr>
          <w:rFonts w:cs="Arial"/>
          <w:i/>
          <w:iCs/>
          <w:color w:val="auto"/>
        </w:rPr>
        <w:t xml:space="preserve">; </w:t>
      </w:r>
    </w:p>
    <w:p w14:paraId="2E1AC37C" w14:textId="2F584430" w:rsidR="00881EFF" w:rsidRPr="00067E26" w:rsidRDefault="00DF18AA" w:rsidP="00881EFF">
      <w:pPr>
        <w:pStyle w:val="BodyText"/>
        <w:numPr>
          <w:ilvl w:val="1"/>
          <w:numId w:val="36"/>
        </w:numPr>
        <w:jc w:val="both"/>
        <w:rPr>
          <w:rFonts w:cs="Arial"/>
          <w:i/>
          <w:iCs/>
          <w:color w:val="auto"/>
        </w:rPr>
      </w:pPr>
      <w:r w:rsidRPr="00067E26">
        <w:rPr>
          <w:rFonts w:cs="Arial"/>
          <w:i/>
          <w:iCs/>
          <w:color w:val="auto"/>
        </w:rPr>
        <w:t>“</w:t>
      </w:r>
      <w:r w:rsidR="00881EFF" w:rsidRPr="00067E26">
        <w:rPr>
          <w:rFonts w:cs="Arial"/>
          <w:i/>
          <w:iCs/>
          <w:color w:val="auto"/>
        </w:rPr>
        <w:t>MSD further questions at what point NICE reviewed and approved the departures from the conventional MTA process; whether this was consulted upon and formalised; and what safeguards it put in place to ensure that the methodology and standard of review remained unaffected</w:t>
      </w:r>
      <w:r w:rsidRPr="00067E26">
        <w:rPr>
          <w:rFonts w:cs="Arial"/>
          <w:i/>
          <w:iCs/>
          <w:color w:val="auto"/>
        </w:rPr>
        <w:t>”</w:t>
      </w:r>
      <w:r w:rsidR="00AC3C9C" w:rsidRPr="00067E26">
        <w:rPr>
          <w:rFonts w:cs="Arial"/>
          <w:i/>
          <w:iCs/>
          <w:color w:val="auto"/>
        </w:rPr>
        <w:t>; and</w:t>
      </w:r>
    </w:p>
    <w:p w14:paraId="2607FCEA" w14:textId="79520D47" w:rsidR="00777100" w:rsidRPr="00067E26" w:rsidRDefault="00DF18AA" w:rsidP="007F1908">
      <w:pPr>
        <w:pStyle w:val="BodyText"/>
        <w:numPr>
          <w:ilvl w:val="0"/>
          <w:numId w:val="36"/>
        </w:numPr>
        <w:jc w:val="both"/>
        <w:rPr>
          <w:rFonts w:cs="Arial"/>
          <w:color w:val="auto"/>
        </w:rPr>
      </w:pPr>
      <w:r w:rsidRPr="00067E26">
        <w:rPr>
          <w:rFonts w:cs="Arial"/>
          <w:i/>
          <w:iCs/>
          <w:color w:val="auto"/>
        </w:rPr>
        <w:lastRenderedPageBreak/>
        <w:t>“</w:t>
      </w:r>
      <w:r w:rsidR="00777100" w:rsidRPr="00067E26">
        <w:rPr>
          <w:rFonts w:cs="Arial"/>
          <w:i/>
          <w:iCs/>
          <w:color w:val="auto"/>
        </w:rPr>
        <w:t>the ad hoc process followed has led to the Appraisal Committee and the External Assessment Group (“EAG”) applying a less rigorous standard and methodology of review than is required under a conventional MTA</w:t>
      </w:r>
      <w:r w:rsidR="00777100" w:rsidRPr="00067E26">
        <w:rPr>
          <w:rFonts w:cs="Arial"/>
          <w:color w:val="auto"/>
        </w:rPr>
        <w:t>.</w:t>
      </w:r>
      <w:r w:rsidRPr="00067E26">
        <w:rPr>
          <w:rFonts w:cs="Arial"/>
          <w:color w:val="auto"/>
        </w:rPr>
        <w:t>”</w:t>
      </w:r>
    </w:p>
    <w:p w14:paraId="4828EE48" w14:textId="3A625663" w:rsidR="007F1908" w:rsidRPr="00067E26" w:rsidRDefault="00C372B6" w:rsidP="007F1908">
      <w:pPr>
        <w:pStyle w:val="BodyText"/>
        <w:ind w:left="720"/>
        <w:jc w:val="both"/>
        <w:rPr>
          <w:rFonts w:cs="Arial"/>
          <w:color w:val="auto"/>
        </w:rPr>
      </w:pPr>
      <w:r w:rsidRPr="00067E26">
        <w:rPr>
          <w:rFonts w:cs="Arial"/>
          <w:color w:val="auto"/>
        </w:rPr>
        <w:t xml:space="preserve">I consider </w:t>
      </w:r>
      <w:r w:rsidR="00217BFB" w:rsidRPr="00067E26">
        <w:rPr>
          <w:rFonts w:cs="Arial"/>
          <w:color w:val="auto"/>
        </w:rPr>
        <w:t>you make</w:t>
      </w:r>
      <w:r w:rsidR="00D86F12" w:rsidRPr="00067E26">
        <w:rPr>
          <w:rFonts w:cs="Arial"/>
          <w:color w:val="auto"/>
        </w:rPr>
        <w:t xml:space="preserve"> an arguable point</w:t>
      </w:r>
      <w:r w:rsidRPr="00067E26">
        <w:rPr>
          <w:rFonts w:cs="Arial"/>
          <w:color w:val="auto"/>
        </w:rPr>
        <w:t xml:space="preserve"> </w:t>
      </w:r>
      <w:r w:rsidR="00217BFB" w:rsidRPr="00067E26">
        <w:rPr>
          <w:rFonts w:cs="Arial"/>
          <w:color w:val="auto"/>
        </w:rPr>
        <w:t xml:space="preserve">here </w:t>
      </w:r>
      <w:r w:rsidR="00D86F12" w:rsidRPr="00067E26">
        <w:rPr>
          <w:rFonts w:cs="Arial"/>
          <w:color w:val="auto"/>
        </w:rPr>
        <w:t xml:space="preserve">in relation to specific departures from NICE’s published processes, i.e. </w:t>
      </w:r>
      <w:r w:rsidRPr="00067E26">
        <w:rPr>
          <w:rFonts w:cs="Arial"/>
          <w:color w:val="auto"/>
        </w:rPr>
        <w:t>as</w:t>
      </w:r>
      <w:r w:rsidR="00D86F12" w:rsidRPr="00067E26">
        <w:rPr>
          <w:rFonts w:cs="Arial"/>
          <w:color w:val="auto"/>
        </w:rPr>
        <w:t xml:space="preserve"> set out in Appendix 1 to your letter</w:t>
      </w:r>
      <w:r w:rsidRPr="00067E26">
        <w:rPr>
          <w:rFonts w:cs="Arial"/>
          <w:color w:val="auto"/>
        </w:rPr>
        <w:t xml:space="preserve">. </w:t>
      </w:r>
      <w:r w:rsidR="003532BA" w:rsidRPr="00067E26">
        <w:rPr>
          <w:rFonts w:cs="Arial"/>
          <w:color w:val="auto"/>
        </w:rPr>
        <w:t>The first two bullet points on page 4 of your appeal letter appear to duplicate Appendix 1</w:t>
      </w:r>
      <w:r w:rsidR="00CA619A" w:rsidRPr="00067E26">
        <w:rPr>
          <w:rFonts w:cs="Arial"/>
          <w:color w:val="auto"/>
        </w:rPr>
        <w:t xml:space="preserve"> – as to which see my comments below. </w:t>
      </w:r>
      <w:r w:rsidR="00361121" w:rsidRPr="00067E26">
        <w:rPr>
          <w:rFonts w:cs="Arial"/>
          <w:color w:val="auto"/>
        </w:rPr>
        <w:t xml:space="preserve"> I do not consider the third bullet point </w:t>
      </w:r>
      <w:r w:rsidR="00AC3C9C" w:rsidRPr="00067E26">
        <w:rPr>
          <w:rFonts w:cs="Arial"/>
          <w:color w:val="auto"/>
        </w:rPr>
        <w:t xml:space="preserve">(at the top of page 5) </w:t>
      </w:r>
      <w:r w:rsidR="00361121" w:rsidRPr="00067E26">
        <w:rPr>
          <w:rFonts w:cs="Arial"/>
          <w:color w:val="auto"/>
        </w:rPr>
        <w:t xml:space="preserve">is </w:t>
      </w:r>
      <w:r w:rsidR="007D6FED" w:rsidRPr="00067E26">
        <w:rPr>
          <w:rFonts w:cs="Arial"/>
          <w:color w:val="auto"/>
        </w:rPr>
        <w:t>arguable</w:t>
      </w:r>
      <w:r w:rsidR="007F1908" w:rsidRPr="00067E26">
        <w:rPr>
          <w:rFonts w:cs="Arial"/>
          <w:color w:val="auto"/>
        </w:rPr>
        <w:t xml:space="preserve"> </w:t>
      </w:r>
      <w:r w:rsidR="00F62F23" w:rsidRPr="00067E26">
        <w:rPr>
          <w:rFonts w:cs="Arial"/>
          <w:color w:val="auto"/>
        </w:rPr>
        <w:t xml:space="preserve">as it is </w:t>
      </w:r>
      <w:r w:rsidR="007D6FED" w:rsidRPr="00067E26">
        <w:rPr>
          <w:rFonts w:cs="Arial"/>
          <w:color w:val="auto"/>
        </w:rPr>
        <w:t>too general.</w:t>
      </w:r>
    </w:p>
    <w:p w14:paraId="49F9BD8C" w14:textId="683CBB4E" w:rsidR="002812E6" w:rsidRPr="00067E26" w:rsidRDefault="00361121" w:rsidP="002812E6">
      <w:pPr>
        <w:pStyle w:val="BodyText"/>
        <w:numPr>
          <w:ilvl w:val="0"/>
          <w:numId w:val="36"/>
        </w:numPr>
        <w:jc w:val="both"/>
        <w:rPr>
          <w:rFonts w:cs="Arial"/>
          <w:i/>
          <w:iCs/>
          <w:color w:val="auto"/>
        </w:rPr>
      </w:pPr>
      <w:r w:rsidRPr="00067E26">
        <w:rPr>
          <w:rFonts w:cs="Arial"/>
          <w:i/>
          <w:iCs/>
          <w:color w:val="auto"/>
        </w:rPr>
        <w:t>“</w:t>
      </w:r>
      <w:r w:rsidR="002812E6" w:rsidRPr="00067E26">
        <w:rPr>
          <w:rFonts w:cs="Arial"/>
          <w:i/>
          <w:iCs/>
          <w:color w:val="auto"/>
        </w:rPr>
        <w:t xml:space="preserve">notwithstanding </w:t>
      </w:r>
      <w:r w:rsidR="00AC3C9C" w:rsidRPr="00067E26">
        <w:rPr>
          <w:rFonts w:cs="Arial"/>
          <w:i/>
          <w:iCs/>
          <w:color w:val="auto"/>
        </w:rPr>
        <w:t xml:space="preserve">NICE’s </w:t>
      </w:r>
      <w:r w:rsidR="002812E6" w:rsidRPr="00067E26">
        <w:rPr>
          <w:rFonts w:cs="Arial"/>
          <w:i/>
          <w:iCs/>
          <w:color w:val="auto"/>
        </w:rPr>
        <w:t>commitment to follow “all the steps” of an MTA</w:t>
      </w:r>
      <w:r w:rsidR="00AC3C9C" w:rsidRPr="00067E26">
        <w:rPr>
          <w:rFonts w:cs="Arial"/>
          <w:i/>
          <w:iCs/>
          <w:color w:val="auto"/>
        </w:rPr>
        <w:t>,</w:t>
      </w:r>
      <w:r w:rsidR="002812E6" w:rsidRPr="00067E26">
        <w:rPr>
          <w:rFonts w:cs="Arial"/>
          <w:i/>
          <w:iCs/>
          <w:color w:val="auto"/>
        </w:rPr>
        <w:t xml:space="preserve"> the Process Statement issued on 28 September illustrates some key gaps…</w:t>
      </w:r>
      <w:r w:rsidRPr="00067E26">
        <w:rPr>
          <w:rFonts w:cs="Arial"/>
          <w:i/>
          <w:iCs/>
          <w:color w:val="auto"/>
        </w:rPr>
        <w:t>”</w:t>
      </w:r>
    </w:p>
    <w:p w14:paraId="0CE98592" w14:textId="1D745133" w:rsidR="002812E6" w:rsidRPr="00067E26" w:rsidRDefault="002812E6" w:rsidP="002812E6">
      <w:pPr>
        <w:pStyle w:val="BodyText"/>
        <w:ind w:left="720"/>
        <w:jc w:val="both"/>
        <w:rPr>
          <w:rFonts w:cs="Arial"/>
          <w:color w:val="auto"/>
        </w:rPr>
      </w:pPr>
      <w:r w:rsidRPr="00067E26">
        <w:rPr>
          <w:rFonts w:cs="Arial"/>
          <w:color w:val="auto"/>
        </w:rPr>
        <w:t xml:space="preserve">I am not minded to refer your arguments relating to the content of the Process Statement </w:t>
      </w:r>
      <w:r w:rsidR="00950081" w:rsidRPr="00067E26">
        <w:rPr>
          <w:rFonts w:cs="Arial"/>
          <w:color w:val="auto"/>
        </w:rPr>
        <w:t>p</w:t>
      </w:r>
      <w:r w:rsidR="00950081" w:rsidRPr="00067E26">
        <w:rPr>
          <w:rFonts w:cs="Arial"/>
          <w:i/>
          <w:iCs/>
          <w:color w:val="auto"/>
        </w:rPr>
        <w:t>er se</w:t>
      </w:r>
      <w:r w:rsidR="00950081" w:rsidRPr="00067E26">
        <w:rPr>
          <w:rFonts w:cs="Arial"/>
          <w:color w:val="auto"/>
        </w:rPr>
        <w:t xml:space="preserve"> </w:t>
      </w:r>
      <w:r w:rsidRPr="00067E26">
        <w:rPr>
          <w:rFonts w:cs="Arial"/>
          <w:color w:val="auto"/>
        </w:rPr>
        <w:t xml:space="preserve">to the Appeal Panel. The committee is required to follow the process as set out in the </w:t>
      </w:r>
      <w:r w:rsidR="006F5AF9" w:rsidRPr="00067E26">
        <w:rPr>
          <w:rFonts w:cs="Arial"/>
          <w:color w:val="auto"/>
        </w:rPr>
        <w:t xml:space="preserve">Manual and the </w:t>
      </w:r>
      <w:r w:rsidRPr="00067E26">
        <w:rPr>
          <w:rFonts w:cs="Arial"/>
          <w:color w:val="auto"/>
        </w:rPr>
        <w:t xml:space="preserve">Process Statement.  A challenge against the Process Statement itself </w:t>
      </w:r>
      <w:r w:rsidR="006F5AF9" w:rsidRPr="00067E26">
        <w:rPr>
          <w:rFonts w:cs="Arial"/>
          <w:color w:val="auto"/>
        </w:rPr>
        <w:t xml:space="preserve">would be </w:t>
      </w:r>
      <w:r w:rsidRPr="00067E26">
        <w:rPr>
          <w:rFonts w:cs="Arial"/>
          <w:color w:val="auto"/>
        </w:rPr>
        <w:t xml:space="preserve">outside of the scope of the appeals process and would be a matter for NICE. </w:t>
      </w:r>
    </w:p>
    <w:p w14:paraId="1C4B8DFA" w14:textId="7576A63F" w:rsidR="00332360" w:rsidRPr="00067E26" w:rsidRDefault="00332360" w:rsidP="00332360">
      <w:pPr>
        <w:pStyle w:val="BodyText"/>
        <w:numPr>
          <w:ilvl w:val="0"/>
          <w:numId w:val="36"/>
        </w:numPr>
        <w:jc w:val="both"/>
        <w:rPr>
          <w:rFonts w:cs="Arial"/>
          <w:color w:val="auto"/>
        </w:rPr>
      </w:pPr>
      <w:r w:rsidRPr="00067E26">
        <w:rPr>
          <w:rFonts w:cs="Arial"/>
          <w:color w:val="auto"/>
        </w:rPr>
        <w:t>“</w:t>
      </w:r>
      <w:r w:rsidRPr="00067E26">
        <w:rPr>
          <w:rFonts w:cs="Arial"/>
          <w:i/>
          <w:iCs/>
          <w:color w:val="auto"/>
        </w:rPr>
        <w:t xml:space="preserve">The Process Statement for ID4038 required committed </w:t>
      </w:r>
      <w:r w:rsidRPr="00067E26">
        <w:rPr>
          <w:rFonts w:cs="Arial"/>
          <w:color w:val="auto"/>
        </w:rPr>
        <w:t xml:space="preserve">[sic] </w:t>
      </w:r>
      <w:r w:rsidRPr="00067E26">
        <w:rPr>
          <w:rFonts w:cs="Arial"/>
          <w:i/>
          <w:iCs/>
          <w:color w:val="auto"/>
        </w:rPr>
        <w:t xml:space="preserve">the EAG to carrying out </w:t>
      </w:r>
      <w:r w:rsidR="00447FB4" w:rsidRPr="00067E26">
        <w:rPr>
          <w:rFonts w:cs="Arial"/>
          <w:i/>
          <w:iCs/>
          <w:color w:val="auto"/>
        </w:rPr>
        <w:t xml:space="preserve"> </w:t>
      </w:r>
      <w:r w:rsidR="00447FB4" w:rsidRPr="00067E26">
        <w:rPr>
          <w:rFonts w:cs="Arial"/>
          <w:color w:val="auto"/>
        </w:rPr>
        <w:t xml:space="preserve">[sic] </w:t>
      </w:r>
      <w:r w:rsidRPr="00067E26">
        <w:rPr>
          <w:rFonts w:cs="Arial"/>
          <w:i/>
          <w:iCs/>
          <w:color w:val="auto"/>
        </w:rPr>
        <w:t>a systematic evidence review, in accordance with the Guidance Manual</w:t>
      </w:r>
      <w:r w:rsidRPr="00067E26">
        <w:rPr>
          <w:rFonts w:cs="Arial"/>
          <w:color w:val="auto"/>
        </w:rPr>
        <w:t xml:space="preserve">.’   </w:t>
      </w:r>
    </w:p>
    <w:p w14:paraId="19928252" w14:textId="0A069F09" w:rsidR="00332360" w:rsidRPr="00067E26" w:rsidRDefault="00332360" w:rsidP="00332360">
      <w:pPr>
        <w:pStyle w:val="BodyText"/>
        <w:ind w:left="720"/>
        <w:jc w:val="both"/>
        <w:rPr>
          <w:rFonts w:cs="Arial"/>
          <w:color w:val="auto"/>
        </w:rPr>
      </w:pPr>
      <w:r w:rsidRPr="00067E26">
        <w:rPr>
          <w:rFonts w:cs="Arial"/>
          <w:color w:val="auto"/>
        </w:rPr>
        <w:t>I am minded to refer this point to the Appeal Panel</w:t>
      </w:r>
      <w:r w:rsidR="00447FB4" w:rsidRPr="00067E26">
        <w:rPr>
          <w:rFonts w:cs="Arial"/>
          <w:color w:val="auto"/>
        </w:rPr>
        <w:t>, noting it appears to duplicate Appendix 1.</w:t>
      </w:r>
    </w:p>
    <w:p w14:paraId="13EA6136" w14:textId="488CD8DA" w:rsidR="00507028" w:rsidRPr="00067E26" w:rsidRDefault="0036437A" w:rsidP="000521EB">
      <w:pPr>
        <w:pStyle w:val="BodyText"/>
        <w:numPr>
          <w:ilvl w:val="0"/>
          <w:numId w:val="36"/>
        </w:numPr>
        <w:jc w:val="both"/>
        <w:rPr>
          <w:rFonts w:cs="Arial"/>
          <w:i/>
          <w:iCs/>
          <w:color w:val="auto"/>
        </w:rPr>
      </w:pPr>
      <w:r w:rsidRPr="00067E26">
        <w:rPr>
          <w:rFonts w:cs="Arial"/>
          <w:i/>
          <w:iCs/>
          <w:color w:val="auto"/>
        </w:rPr>
        <w:t xml:space="preserve">Please also refer to the table attached at Appendix 1 to this appeal letter for a summary of further departures from NICE’s usual MTA process - </w:t>
      </w:r>
      <w:r w:rsidR="00E82B75" w:rsidRPr="00067E26">
        <w:rPr>
          <w:rFonts w:cs="Arial"/>
          <w:i/>
          <w:iCs/>
          <w:color w:val="auto"/>
        </w:rPr>
        <w:t xml:space="preserve">Appendix 1 </w:t>
      </w:r>
      <w:r w:rsidR="00BA3636" w:rsidRPr="00067E26">
        <w:rPr>
          <w:rFonts w:cs="Arial"/>
          <w:i/>
          <w:iCs/>
          <w:color w:val="auto"/>
        </w:rPr>
        <w:t>–</w:t>
      </w:r>
      <w:r w:rsidR="00E82B75" w:rsidRPr="00067E26">
        <w:rPr>
          <w:rFonts w:cs="Arial"/>
          <w:i/>
          <w:iCs/>
          <w:color w:val="auto"/>
        </w:rPr>
        <w:t xml:space="preserve"> </w:t>
      </w:r>
      <w:r w:rsidR="002D2923" w:rsidRPr="00067E26">
        <w:rPr>
          <w:rFonts w:cs="Arial"/>
          <w:i/>
          <w:iCs/>
          <w:color w:val="auto"/>
        </w:rPr>
        <w:t>“</w:t>
      </w:r>
      <w:r w:rsidR="00507028" w:rsidRPr="00067E26">
        <w:rPr>
          <w:rFonts w:cs="Arial"/>
          <w:i/>
          <w:iCs/>
          <w:color w:val="auto"/>
        </w:rPr>
        <w:t>Key Departures from NICE’s Usual MTA Process</w:t>
      </w:r>
      <w:r w:rsidR="002D2923" w:rsidRPr="00067E26">
        <w:rPr>
          <w:rFonts w:cs="Arial"/>
          <w:i/>
          <w:iCs/>
          <w:color w:val="auto"/>
        </w:rPr>
        <w:t>”</w:t>
      </w:r>
    </w:p>
    <w:p w14:paraId="7C44DE71" w14:textId="08ADE0AB" w:rsidR="003473D1" w:rsidRPr="00067E26" w:rsidRDefault="00507028" w:rsidP="00440759">
      <w:pPr>
        <w:pStyle w:val="BodyText"/>
        <w:ind w:left="720"/>
        <w:jc w:val="both"/>
        <w:rPr>
          <w:rFonts w:cs="Arial"/>
          <w:color w:val="auto"/>
        </w:rPr>
      </w:pPr>
      <w:r w:rsidRPr="00067E26">
        <w:rPr>
          <w:rFonts w:cs="Arial"/>
          <w:color w:val="auto"/>
        </w:rPr>
        <w:t xml:space="preserve">I am minded to refer </w:t>
      </w:r>
      <w:r w:rsidR="00A736D1" w:rsidRPr="00067E26">
        <w:rPr>
          <w:rFonts w:cs="Arial"/>
          <w:color w:val="auto"/>
        </w:rPr>
        <w:t>the</w:t>
      </w:r>
      <w:r w:rsidRPr="00067E26">
        <w:rPr>
          <w:rFonts w:cs="Arial"/>
          <w:color w:val="auto"/>
        </w:rPr>
        <w:t xml:space="preserve"> </w:t>
      </w:r>
      <w:r w:rsidR="00D8059E" w:rsidRPr="00067E26">
        <w:rPr>
          <w:rFonts w:cs="Arial"/>
          <w:color w:val="auto"/>
        </w:rPr>
        <w:t xml:space="preserve">arguments </w:t>
      </w:r>
      <w:r w:rsidR="00626987" w:rsidRPr="00067E26">
        <w:rPr>
          <w:rFonts w:cs="Arial"/>
          <w:color w:val="auto"/>
        </w:rPr>
        <w:t>you have raised in Appendix 1</w:t>
      </w:r>
      <w:r w:rsidRPr="00067E26">
        <w:rPr>
          <w:rFonts w:cs="Arial"/>
          <w:color w:val="auto"/>
        </w:rPr>
        <w:t xml:space="preserve"> to the Appeal Panel</w:t>
      </w:r>
      <w:r w:rsidR="00626987" w:rsidRPr="00067E26">
        <w:rPr>
          <w:rFonts w:cs="Arial"/>
          <w:color w:val="auto"/>
        </w:rPr>
        <w:t xml:space="preserve"> to assess whether the committee has departed from the </w:t>
      </w:r>
      <w:r w:rsidR="00693100" w:rsidRPr="00067E26">
        <w:rPr>
          <w:rFonts w:cs="Arial"/>
          <w:color w:val="auto"/>
        </w:rPr>
        <w:t xml:space="preserve">Manual in the </w:t>
      </w:r>
      <w:r w:rsidR="00C13262" w:rsidRPr="00067E26">
        <w:rPr>
          <w:rFonts w:cs="Arial"/>
          <w:color w:val="auto"/>
        </w:rPr>
        <w:t>Appraisal</w:t>
      </w:r>
      <w:r w:rsidR="003473D1" w:rsidRPr="00067E26">
        <w:rPr>
          <w:rFonts w:cs="Arial"/>
          <w:color w:val="auto"/>
        </w:rPr>
        <w:t>,</w:t>
      </w:r>
      <w:r w:rsidR="00805370" w:rsidRPr="00067E26">
        <w:rPr>
          <w:rFonts w:cs="Arial"/>
          <w:color w:val="auto"/>
        </w:rPr>
        <w:t xml:space="preserve"> save that </w:t>
      </w:r>
      <w:r w:rsidR="00FC452D" w:rsidRPr="00067E26">
        <w:rPr>
          <w:rFonts w:cs="Arial"/>
          <w:color w:val="auto"/>
        </w:rPr>
        <w:t xml:space="preserve">I do not consider any argument against </w:t>
      </w:r>
      <w:r w:rsidR="00490BD5" w:rsidRPr="00067E26">
        <w:rPr>
          <w:rFonts w:cs="Arial"/>
          <w:color w:val="auto"/>
        </w:rPr>
        <w:t>NICE’s published</w:t>
      </w:r>
      <w:r w:rsidR="00FC452D" w:rsidRPr="00067E26">
        <w:rPr>
          <w:rFonts w:cs="Arial"/>
          <w:color w:val="auto"/>
        </w:rPr>
        <w:t xml:space="preserve"> </w:t>
      </w:r>
      <w:r w:rsidR="0060652A" w:rsidRPr="00067E26">
        <w:rPr>
          <w:rFonts w:cs="Arial"/>
          <w:color w:val="auto"/>
        </w:rPr>
        <w:t>processes themselves to be valid</w:t>
      </w:r>
      <w:r w:rsidR="003473D1" w:rsidRPr="00067E26">
        <w:rPr>
          <w:rFonts w:cs="Arial"/>
          <w:color w:val="auto"/>
        </w:rPr>
        <w:t>. In particular, I do not consider your following points arguable:</w:t>
      </w:r>
    </w:p>
    <w:p w14:paraId="2361667B" w14:textId="16D879A4" w:rsidR="003473D1" w:rsidRPr="00067E26" w:rsidRDefault="0060652A" w:rsidP="003473D1">
      <w:pPr>
        <w:pStyle w:val="BodyText"/>
        <w:numPr>
          <w:ilvl w:val="0"/>
          <w:numId w:val="44"/>
        </w:numPr>
        <w:jc w:val="both"/>
        <w:rPr>
          <w:rFonts w:cs="Arial"/>
          <w:color w:val="auto"/>
        </w:rPr>
      </w:pPr>
      <w:r w:rsidRPr="00067E26">
        <w:rPr>
          <w:rFonts w:cs="Arial"/>
          <w:color w:val="auto"/>
        </w:rPr>
        <w:t>your comment under “</w:t>
      </w:r>
      <w:r w:rsidR="00821EA8" w:rsidRPr="00067E26">
        <w:rPr>
          <w:rFonts w:cs="Arial"/>
          <w:color w:val="auto"/>
        </w:rPr>
        <w:t xml:space="preserve">Invitation for evidence submissions” </w:t>
      </w:r>
      <w:r w:rsidRPr="00067E26">
        <w:rPr>
          <w:rFonts w:cs="Arial"/>
          <w:color w:val="auto"/>
        </w:rPr>
        <w:t xml:space="preserve">that </w:t>
      </w:r>
      <w:r w:rsidR="00C4242F" w:rsidRPr="00067E26">
        <w:rPr>
          <w:rFonts w:cs="Arial"/>
          <w:color w:val="auto"/>
        </w:rPr>
        <w:t>there was</w:t>
      </w:r>
      <w:r w:rsidR="006D1963" w:rsidRPr="00067E26">
        <w:rPr>
          <w:rFonts w:cs="Arial"/>
          <w:color w:val="auto"/>
        </w:rPr>
        <w:t xml:space="preserve"> </w:t>
      </w:r>
      <w:r w:rsidRPr="00067E26">
        <w:rPr>
          <w:rFonts w:cs="Arial"/>
          <w:color w:val="auto"/>
        </w:rPr>
        <w:t>a</w:t>
      </w:r>
      <w:r w:rsidR="006D1963" w:rsidRPr="00067E26">
        <w:rPr>
          <w:rFonts w:cs="Arial"/>
          <w:color w:val="auto"/>
        </w:rPr>
        <w:t xml:space="preserve"> shorter window of 28 days</w:t>
      </w:r>
      <w:r w:rsidR="00440759" w:rsidRPr="00067E26">
        <w:rPr>
          <w:rFonts w:cs="Arial"/>
          <w:color w:val="auto"/>
        </w:rPr>
        <w:t xml:space="preserve"> for evidence submission</w:t>
      </w:r>
      <w:r w:rsidR="00C4242F" w:rsidRPr="00067E26">
        <w:rPr>
          <w:rFonts w:cs="Arial"/>
          <w:color w:val="auto"/>
        </w:rPr>
        <w:t>, as this was specifically provided for in the Process Statement</w:t>
      </w:r>
      <w:r w:rsidR="003473D1" w:rsidRPr="00067E26">
        <w:rPr>
          <w:rFonts w:cs="Arial"/>
          <w:color w:val="auto"/>
        </w:rPr>
        <w:t>;</w:t>
      </w:r>
    </w:p>
    <w:p w14:paraId="6E166EC3" w14:textId="794AB873" w:rsidR="006D1963" w:rsidRPr="00067E26" w:rsidRDefault="0049411E" w:rsidP="003473D1">
      <w:pPr>
        <w:pStyle w:val="BodyText"/>
        <w:numPr>
          <w:ilvl w:val="0"/>
          <w:numId w:val="44"/>
        </w:numPr>
        <w:jc w:val="both"/>
        <w:rPr>
          <w:rFonts w:cs="Arial"/>
          <w:color w:val="auto"/>
        </w:rPr>
      </w:pPr>
      <w:r w:rsidRPr="00067E26">
        <w:rPr>
          <w:rFonts w:cs="Arial"/>
          <w:color w:val="auto"/>
        </w:rPr>
        <w:t>your comment that</w:t>
      </w:r>
      <w:r w:rsidRPr="00067E26">
        <w:rPr>
          <w:color w:val="auto"/>
        </w:rPr>
        <w:t xml:space="preserve"> </w:t>
      </w:r>
      <w:r w:rsidRPr="00067E26">
        <w:rPr>
          <w:rFonts w:cs="Arial"/>
          <w:color w:val="auto"/>
        </w:rPr>
        <w:t xml:space="preserve">the EAG reported </w:t>
      </w:r>
      <w:r w:rsidR="00C4242F" w:rsidRPr="00067E26">
        <w:rPr>
          <w:rFonts w:cs="Arial"/>
          <w:color w:val="auto"/>
        </w:rPr>
        <w:t>without</w:t>
      </w:r>
      <w:r w:rsidRPr="00067E26">
        <w:rPr>
          <w:rFonts w:cs="Arial"/>
          <w:color w:val="auto"/>
        </w:rPr>
        <w:t xml:space="preserve"> receiving any evidence submissions from consultees</w:t>
      </w:r>
      <w:r w:rsidR="00D36914" w:rsidRPr="00067E26">
        <w:rPr>
          <w:rFonts w:cs="Arial"/>
          <w:color w:val="auto"/>
        </w:rPr>
        <w:t>, as again this is provided for in the Process Statement</w:t>
      </w:r>
      <w:r w:rsidR="006D1963" w:rsidRPr="00067E26">
        <w:rPr>
          <w:rFonts w:cs="Arial"/>
          <w:color w:val="auto"/>
        </w:rPr>
        <w:t>.</w:t>
      </w:r>
      <w:r w:rsidR="00440759" w:rsidRPr="00067E26">
        <w:rPr>
          <w:rFonts w:cs="Arial"/>
          <w:color w:val="auto"/>
        </w:rPr>
        <w:t xml:space="preserve"> </w:t>
      </w:r>
    </w:p>
    <w:p w14:paraId="2A04E89A" w14:textId="07876F97" w:rsidR="00C53674" w:rsidRPr="00067E26" w:rsidRDefault="008D08D4" w:rsidP="00FB1F61">
      <w:pPr>
        <w:pStyle w:val="BodyText"/>
        <w:jc w:val="both"/>
        <w:rPr>
          <w:rFonts w:cs="Arial"/>
          <w:b/>
          <w:color w:val="auto"/>
          <w:u w:val="single"/>
        </w:rPr>
      </w:pPr>
      <w:r w:rsidRPr="00067E26">
        <w:rPr>
          <w:rFonts w:cs="Arial"/>
          <w:i/>
          <w:iCs/>
          <w:color w:val="auto"/>
        </w:rPr>
        <w:t>‘</w:t>
      </w:r>
      <w:r w:rsidR="00C53674" w:rsidRPr="00067E26">
        <w:rPr>
          <w:rFonts w:cs="Arial"/>
          <w:b/>
          <w:color w:val="auto"/>
          <w:u w:val="single"/>
        </w:rPr>
        <w:t>Appeal point 1</w:t>
      </w:r>
      <w:r w:rsidR="00033E75" w:rsidRPr="00067E26">
        <w:rPr>
          <w:rFonts w:cs="Arial"/>
          <w:b/>
          <w:color w:val="auto"/>
          <w:u w:val="single"/>
        </w:rPr>
        <w:t>(</w:t>
      </w:r>
      <w:r w:rsidR="00C53674" w:rsidRPr="00067E26">
        <w:rPr>
          <w:rFonts w:cs="Arial"/>
          <w:b/>
          <w:color w:val="auto"/>
          <w:u w:val="single"/>
        </w:rPr>
        <w:t>a</w:t>
      </w:r>
      <w:r w:rsidR="00033E75" w:rsidRPr="00067E26">
        <w:rPr>
          <w:rFonts w:cs="Arial"/>
          <w:b/>
          <w:color w:val="auto"/>
          <w:u w:val="single"/>
        </w:rPr>
        <w:t>)</w:t>
      </w:r>
      <w:r w:rsidR="00C53674" w:rsidRPr="00067E26">
        <w:rPr>
          <w:rFonts w:cs="Arial"/>
          <w:b/>
          <w:color w:val="auto"/>
          <w:u w:val="single"/>
        </w:rPr>
        <w:t>.</w:t>
      </w:r>
      <w:r w:rsidR="00FC597E" w:rsidRPr="00067E26">
        <w:rPr>
          <w:rFonts w:cs="Arial"/>
          <w:b/>
          <w:color w:val="auto"/>
          <w:u w:val="single"/>
        </w:rPr>
        <w:t>2</w:t>
      </w:r>
      <w:r w:rsidR="00C53674" w:rsidRPr="00067E26">
        <w:rPr>
          <w:rFonts w:cs="Arial"/>
          <w:b/>
          <w:color w:val="auto"/>
          <w:u w:val="single"/>
        </w:rPr>
        <w:t xml:space="preserve">; </w:t>
      </w:r>
      <w:r w:rsidR="00FC597E" w:rsidRPr="00067E26">
        <w:rPr>
          <w:rFonts w:cs="Arial"/>
          <w:b/>
          <w:color w:val="auto"/>
          <w:u w:val="single"/>
        </w:rPr>
        <w:t>The ad hoc process that NICE followed was inconsistent, unfair and unfit for purpose.</w:t>
      </w:r>
    </w:p>
    <w:p w14:paraId="1D3821FA" w14:textId="261D2685" w:rsidR="00930FA5" w:rsidRPr="00067E26" w:rsidRDefault="007B2E5A" w:rsidP="008527DA">
      <w:pPr>
        <w:pStyle w:val="BodyText"/>
        <w:jc w:val="both"/>
        <w:rPr>
          <w:rFonts w:cs="Arial"/>
          <w:color w:val="auto"/>
        </w:rPr>
      </w:pPr>
      <w:r w:rsidRPr="00067E26">
        <w:rPr>
          <w:rFonts w:cs="Arial"/>
          <w:color w:val="auto"/>
        </w:rPr>
        <w:t xml:space="preserve">I am </w:t>
      </w:r>
      <w:r w:rsidR="0070760B" w:rsidRPr="00067E26">
        <w:rPr>
          <w:rFonts w:cs="Arial"/>
          <w:color w:val="auto"/>
        </w:rPr>
        <w:t xml:space="preserve">minded to refer this point 1(a).2 </w:t>
      </w:r>
      <w:r w:rsidR="007C4996">
        <w:rPr>
          <w:rFonts w:cs="Arial"/>
          <w:color w:val="auto"/>
        </w:rPr>
        <w:t xml:space="preserve">on the following limited basis: </w:t>
      </w:r>
      <w:r w:rsidR="007C4996" w:rsidRPr="007C4996">
        <w:rPr>
          <w:rFonts w:cs="Arial"/>
          <w:color w:val="auto"/>
        </w:rPr>
        <w:t xml:space="preserve">that NICE acted unfairly because it departed from published process by (1) allowing EAG to take decisions that should have remained with the Committee and (2) by allowing the EAG to make procedural and methodological changes without prior warning.  </w:t>
      </w:r>
      <w:r w:rsidR="007C4996">
        <w:rPr>
          <w:rFonts w:cs="Arial"/>
          <w:color w:val="auto"/>
        </w:rPr>
        <w:t xml:space="preserve">It will be for you </w:t>
      </w:r>
      <w:r w:rsidR="007C4996" w:rsidRPr="007C4996">
        <w:rPr>
          <w:rFonts w:cs="Arial"/>
          <w:color w:val="auto"/>
        </w:rPr>
        <w:t>to persuade the Appeal Panel that this did in fact happen and that it resulted in unfairness</w:t>
      </w:r>
      <w:r w:rsidR="00E453D4" w:rsidRPr="00067E26">
        <w:rPr>
          <w:rFonts w:cs="Arial"/>
          <w:color w:val="auto"/>
        </w:rPr>
        <w:t>.</w:t>
      </w:r>
      <w:r w:rsidR="007C4996">
        <w:rPr>
          <w:rFonts w:cs="Arial"/>
          <w:color w:val="auto"/>
        </w:rPr>
        <w:t xml:space="preserve"> I set out more detailed reasons below. </w:t>
      </w:r>
    </w:p>
    <w:p w14:paraId="2E73F4E1" w14:textId="09031731" w:rsidR="00930FA5" w:rsidRPr="00067E26" w:rsidRDefault="007C4996" w:rsidP="008527DA">
      <w:pPr>
        <w:pStyle w:val="BodyText"/>
        <w:jc w:val="both"/>
        <w:rPr>
          <w:rFonts w:cs="Arial"/>
          <w:color w:val="auto"/>
        </w:rPr>
      </w:pPr>
      <w:r>
        <w:rPr>
          <w:rFonts w:cs="Arial"/>
          <w:color w:val="auto"/>
        </w:rPr>
        <w:t>First, w</w:t>
      </w:r>
      <w:r w:rsidR="006E7D36" w:rsidRPr="00067E26">
        <w:rPr>
          <w:rFonts w:cs="Arial"/>
          <w:color w:val="auto"/>
        </w:rPr>
        <w:t>here</w:t>
      </w:r>
      <w:r w:rsidR="00930FA5" w:rsidRPr="00067E26">
        <w:rPr>
          <w:rFonts w:cs="Arial"/>
          <w:color w:val="auto"/>
        </w:rPr>
        <w:t xml:space="preserve"> your arguments here overlap with appeal point 1(a).1</w:t>
      </w:r>
      <w:r w:rsidR="006E7D36" w:rsidRPr="00067E26">
        <w:rPr>
          <w:rFonts w:cs="Arial"/>
          <w:color w:val="auto"/>
        </w:rPr>
        <w:t>,</w:t>
      </w:r>
      <w:r w:rsidR="00930FA5" w:rsidRPr="00067E26">
        <w:rPr>
          <w:rFonts w:cs="Arial"/>
          <w:color w:val="auto"/>
        </w:rPr>
        <w:t xml:space="preserve"> </w:t>
      </w:r>
      <w:r w:rsidR="006E7D36" w:rsidRPr="00067E26">
        <w:rPr>
          <w:rFonts w:cs="Arial"/>
          <w:color w:val="auto"/>
        </w:rPr>
        <w:t xml:space="preserve">(e.g. as to the evidence submission and review) and challenge NICE’s compliance with its published processes, </w:t>
      </w:r>
      <w:r w:rsidR="00930FA5" w:rsidRPr="00067E26">
        <w:rPr>
          <w:rFonts w:cs="Arial"/>
          <w:color w:val="auto"/>
        </w:rPr>
        <w:t xml:space="preserve">I have </w:t>
      </w:r>
      <w:r w:rsidR="006E7D36" w:rsidRPr="00067E26">
        <w:rPr>
          <w:rFonts w:cs="Arial"/>
          <w:color w:val="auto"/>
        </w:rPr>
        <w:t xml:space="preserve">considered </w:t>
      </w:r>
      <w:r w:rsidR="00930FA5" w:rsidRPr="00067E26">
        <w:rPr>
          <w:rFonts w:cs="Arial"/>
          <w:color w:val="auto"/>
        </w:rPr>
        <w:t xml:space="preserve">them above </w:t>
      </w:r>
      <w:r w:rsidR="00644628" w:rsidRPr="00067E26">
        <w:rPr>
          <w:rFonts w:cs="Arial"/>
          <w:color w:val="auto"/>
        </w:rPr>
        <w:t xml:space="preserve">and </w:t>
      </w:r>
      <w:r w:rsidR="006E7D36" w:rsidRPr="00067E26">
        <w:rPr>
          <w:rFonts w:cs="Arial"/>
          <w:color w:val="auto"/>
        </w:rPr>
        <w:t xml:space="preserve">they will be </w:t>
      </w:r>
      <w:r w:rsidR="00644628" w:rsidRPr="00067E26">
        <w:rPr>
          <w:rFonts w:cs="Arial"/>
          <w:color w:val="auto"/>
        </w:rPr>
        <w:t>heard within 1(a).1.</w:t>
      </w:r>
    </w:p>
    <w:p w14:paraId="2D3AED85" w14:textId="4A2DF41A" w:rsidR="00F43DBB" w:rsidRPr="00067E26" w:rsidRDefault="007C4996" w:rsidP="00F43DBB">
      <w:pPr>
        <w:pStyle w:val="BodyText"/>
        <w:jc w:val="both"/>
        <w:rPr>
          <w:rFonts w:cs="Arial"/>
          <w:color w:val="auto"/>
        </w:rPr>
      </w:pPr>
      <w:r>
        <w:rPr>
          <w:rFonts w:cs="Arial"/>
          <w:color w:val="auto"/>
        </w:rPr>
        <w:lastRenderedPageBreak/>
        <w:t>Secondly,</w:t>
      </w:r>
      <w:r w:rsidR="000E3D27">
        <w:rPr>
          <w:rFonts w:cs="Arial"/>
          <w:color w:val="auto"/>
        </w:rPr>
        <w:t xml:space="preserve"> I</w:t>
      </w:r>
      <w:r>
        <w:rPr>
          <w:rFonts w:cs="Arial"/>
          <w:color w:val="auto"/>
        </w:rPr>
        <w:t xml:space="preserve"> </w:t>
      </w:r>
      <w:r w:rsidR="000E3D27">
        <w:rPr>
          <w:rFonts w:cs="Arial"/>
          <w:color w:val="auto"/>
        </w:rPr>
        <w:t>understand</w:t>
      </w:r>
      <w:r>
        <w:rPr>
          <w:rFonts w:cs="Arial"/>
          <w:color w:val="auto"/>
        </w:rPr>
        <w:t xml:space="preserve"> your argument</w:t>
      </w:r>
      <w:r w:rsidR="00644628" w:rsidRPr="00067E26">
        <w:rPr>
          <w:rFonts w:cs="Arial"/>
          <w:color w:val="auto"/>
        </w:rPr>
        <w:t xml:space="preserve"> </w:t>
      </w:r>
      <w:r>
        <w:rPr>
          <w:rFonts w:cs="Arial"/>
          <w:color w:val="auto"/>
        </w:rPr>
        <w:t xml:space="preserve">under </w:t>
      </w:r>
      <w:r w:rsidR="00644628" w:rsidRPr="00067E26">
        <w:rPr>
          <w:rFonts w:cs="Arial"/>
          <w:color w:val="auto"/>
        </w:rPr>
        <w:t xml:space="preserve">this point 1(a).2 </w:t>
      </w:r>
      <w:r w:rsidR="008423B7" w:rsidRPr="00067E26">
        <w:rPr>
          <w:rFonts w:cs="Arial"/>
          <w:color w:val="auto"/>
        </w:rPr>
        <w:t xml:space="preserve">to be </w:t>
      </w:r>
      <w:r w:rsidR="00644628" w:rsidRPr="00067E26">
        <w:rPr>
          <w:rFonts w:cs="Arial"/>
          <w:color w:val="auto"/>
        </w:rPr>
        <w:t>that you have provided a “single set of examples” that you consider “</w:t>
      </w:r>
      <w:r w:rsidR="00644628" w:rsidRPr="00067E26">
        <w:rPr>
          <w:rFonts w:cs="Arial"/>
          <w:i/>
          <w:iCs/>
          <w:color w:val="auto"/>
        </w:rPr>
        <w:t>demonstrates a central flaw and unfairness of approach. NICE departed from its set procedures, replacing these with an ad hoc approach that created gaps, inconsistencies, and unsound comparisons</w:t>
      </w:r>
      <w:r w:rsidR="00644628" w:rsidRPr="00067E26">
        <w:rPr>
          <w:rFonts w:cs="Arial"/>
          <w:color w:val="auto"/>
        </w:rPr>
        <w:t>.”</w:t>
      </w:r>
      <w:r>
        <w:rPr>
          <w:rFonts w:cs="Arial"/>
          <w:color w:val="auto"/>
        </w:rPr>
        <w:t xml:space="preserve"> </w:t>
      </w:r>
      <w:r w:rsidR="00F43DBB" w:rsidRPr="00067E26">
        <w:rPr>
          <w:rFonts w:cs="Arial"/>
          <w:color w:val="auto"/>
        </w:rPr>
        <w:t>As set out above, i</w:t>
      </w:r>
      <w:r w:rsidR="00F43DBB" w:rsidRPr="00067E26">
        <w:rPr>
          <w:color w:val="auto"/>
        </w:rPr>
        <w:t>f</w:t>
      </w:r>
      <w:r w:rsidR="00F43DBB" w:rsidRPr="00067E26">
        <w:rPr>
          <w:rFonts w:cs="Arial"/>
          <w:color w:val="auto"/>
        </w:rPr>
        <w:t xml:space="preserve"> an appellant wishes to challenge the processes set out in the Manual and Process Statement (i.e. the steps that the Manual requires and the sequencing and timing set out in the Process Statement), as opposed to the committee’s compliance with those processes, then it seems to me that is outside of the scope of the appeals process and would be a matter for NICE.</w:t>
      </w:r>
    </w:p>
    <w:p w14:paraId="73BF4245" w14:textId="051D915E" w:rsidR="008527DA" w:rsidRPr="00067E26" w:rsidRDefault="007C4996" w:rsidP="008527DA">
      <w:pPr>
        <w:pStyle w:val="BodyText"/>
        <w:jc w:val="both"/>
        <w:rPr>
          <w:rFonts w:cs="Arial"/>
          <w:color w:val="auto"/>
        </w:rPr>
      </w:pPr>
      <w:r>
        <w:rPr>
          <w:rFonts w:cs="Arial"/>
          <w:color w:val="auto"/>
        </w:rPr>
        <w:t xml:space="preserve">Thirdly, </w:t>
      </w:r>
      <w:r w:rsidR="00295CD1" w:rsidRPr="00067E26">
        <w:rPr>
          <w:rFonts w:cs="Arial"/>
          <w:color w:val="auto"/>
        </w:rPr>
        <w:t xml:space="preserve">I </w:t>
      </w:r>
      <w:r w:rsidR="00C446CC" w:rsidRPr="00067E26">
        <w:rPr>
          <w:rFonts w:cs="Arial"/>
          <w:color w:val="auto"/>
        </w:rPr>
        <w:t>consider</w:t>
      </w:r>
      <w:r w:rsidR="009A602F" w:rsidRPr="00067E26">
        <w:rPr>
          <w:rFonts w:cs="Arial"/>
          <w:color w:val="auto"/>
        </w:rPr>
        <w:t xml:space="preserve"> the following three arguments under</w:t>
      </w:r>
      <w:r w:rsidR="008527DA" w:rsidRPr="00067E26">
        <w:rPr>
          <w:rFonts w:cs="Arial"/>
          <w:color w:val="auto"/>
        </w:rPr>
        <w:t xml:space="preserve"> </w:t>
      </w:r>
      <w:r w:rsidR="00343447" w:rsidRPr="00067E26">
        <w:rPr>
          <w:rFonts w:cs="Arial"/>
          <w:color w:val="auto"/>
        </w:rPr>
        <w:t xml:space="preserve">this appeal point </w:t>
      </w:r>
      <w:r w:rsidR="00C446CC" w:rsidRPr="00067E26">
        <w:rPr>
          <w:rFonts w:cs="Arial"/>
          <w:color w:val="auto"/>
        </w:rPr>
        <w:t>are</w:t>
      </w:r>
      <w:r w:rsidR="009A602F" w:rsidRPr="00067E26">
        <w:rPr>
          <w:rFonts w:cs="Arial"/>
          <w:color w:val="auto"/>
        </w:rPr>
        <w:t xml:space="preserve"> additional</w:t>
      </w:r>
      <w:r w:rsidR="00DB3ADA" w:rsidRPr="00067E26">
        <w:rPr>
          <w:rFonts w:cs="Arial"/>
          <w:color w:val="auto"/>
        </w:rPr>
        <w:t xml:space="preserve"> to your arguments under 1(a).1</w:t>
      </w:r>
      <w:r w:rsidR="00C33C68" w:rsidRPr="00067E26">
        <w:rPr>
          <w:rFonts w:cs="Arial"/>
          <w:color w:val="auto"/>
        </w:rPr>
        <w:t>.</w:t>
      </w:r>
      <w:r w:rsidR="005A75CC" w:rsidRPr="00067E26">
        <w:rPr>
          <w:rFonts w:cs="Arial"/>
          <w:color w:val="auto"/>
        </w:rPr>
        <w:t xml:space="preserve"> </w:t>
      </w:r>
      <w:r>
        <w:rPr>
          <w:rFonts w:cs="Arial"/>
          <w:color w:val="auto"/>
        </w:rPr>
        <w:t>I set out my initial view on these arguments below</w:t>
      </w:r>
      <w:r w:rsidR="00343447" w:rsidRPr="00067E26">
        <w:rPr>
          <w:rFonts w:cs="Arial"/>
          <w:color w:val="auto"/>
        </w:rPr>
        <w:t>:</w:t>
      </w:r>
    </w:p>
    <w:p w14:paraId="44234426" w14:textId="5F0C2600" w:rsidR="007C4996" w:rsidRDefault="00902003" w:rsidP="007C4996">
      <w:pPr>
        <w:pStyle w:val="BodyText"/>
        <w:numPr>
          <w:ilvl w:val="0"/>
          <w:numId w:val="39"/>
        </w:numPr>
        <w:jc w:val="both"/>
        <w:rPr>
          <w:rFonts w:cs="Arial"/>
          <w:i/>
          <w:iCs/>
          <w:color w:val="auto"/>
        </w:rPr>
      </w:pPr>
      <w:r w:rsidRPr="00067E26">
        <w:rPr>
          <w:rFonts w:cs="Arial"/>
          <w:i/>
          <w:iCs/>
          <w:color w:val="auto"/>
        </w:rPr>
        <w:t>“First, t</w:t>
      </w:r>
      <w:r w:rsidR="00BB3452" w:rsidRPr="00067E26">
        <w:rPr>
          <w:rFonts w:cs="Arial"/>
          <w:i/>
          <w:iCs/>
          <w:color w:val="auto"/>
        </w:rPr>
        <w:t>he Appraisal Committee has over-delegated responsibilities that it must retain. It is NICE’s (and therefore the Appraisal Committee’s) responsibility to ensure the appraisal follows a fair and robust process – this is not the EAG’s role; nor is the EAG expert in these matters. To give the EAG free rein as to the scope of admissible evidence, how to scrutinise it, what to reject, and to take other shortcuts to improve efficiency is wrong.</w:t>
      </w:r>
    </w:p>
    <w:p w14:paraId="701AB5C6" w14:textId="29494B44" w:rsidR="007C4996" w:rsidRPr="007C4996" w:rsidRDefault="007C4996" w:rsidP="007C4996">
      <w:pPr>
        <w:pStyle w:val="BodyText"/>
        <w:ind w:left="720"/>
        <w:jc w:val="both"/>
        <w:rPr>
          <w:rFonts w:cs="Arial"/>
          <w:color w:val="auto"/>
        </w:rPr>
      </w:pPr>
      <w:r>
        <w:rPr>
          <w:rFonts w:cs="Arial"/>
          <w:color w:val="auto"/>
        </w:rPr>
        <w:t xml:space="preserve">I consider it arguable that </w:t>
      </w:r>
      <w:r w:rsidRPr="007C4996">
        <w:rPr>
          <w:rFonts w:cs="Arial"/>
          <w:color w:val="auto"/>
        </w:rPr>
        <w:t>NICE acted unfairly because it departed from published process by (1) allowing EAG to take decisions that should have remained with the Committee</w:t>
      </w:r>
      <w:r>
        <w:rPr>
          <w:rFonts w:cs="Arial"/>
          <w:color w:val="auto"/>
        </w:rPr>
        <w:t xml:space="preserve">. </w:t>
      </w:r>
    </w:p>
    <w:p w14:paraId="71859E63" w14:textId="4BBC5CB9" w:rsidR="00087E34" w:rsidRDefault="00902003" w:rsidP="009B679E">
      <w:pPr>
        <w:pStyle w:val="BodyText"/>
        <w:numPr>
          <w:ilvl w:val="0"/>
          <w:numId w:val="39"/>
        </w:numPr>
        <w:jc w:val="both"/>
        <w:rPr>
          <w:rFonts w:cs="Arial"/>
          <w:i/>
          <w:iCs/>
          <w:color w:val="auto"/>
        </w:rPr>
      </w:pPr>
      <w:r w:rsidRPr="00067E26">
        <w:rPr>
          <w:rFonts w:cs="Arial"/>
          <w:i/>
          <w:iCs/>
          <w:color w:val="auto"/>
        </w:rPr>
        <w:t>“Second, l</w:t>
      </w:r>
      <w:r w:rsidR="00087E34" w:rsidRPr="00067E26">
        <w:rPr>
          <w:rFonts w:cs="Arial"/>
          <w:i/>
          <w:iCs/>
          <w:color w:val="auto"/>
        </w:rPr>
        <w:t>eaving the EAG to make procedural and methodological changes and simply notify these to NICE leaves consultees entirely in the dark. How could companies and others meaningfully follow and contribute to an evidence review process without knowing what would and would not be reviewed, when, and to what standard?</w:t>
      </w:r>
    </w:p>
    <w:p w14:paraId="143DFF59" w14:textId="66BB0531" w:rsidR="007C4996" w:rsidRPr="007C4996" w:rsidRDefault="007C4996" w:rsidP="007C4996">
      <w:pPr>
        <w:pStyle w:val="BodyText"/>
        <w:ind w:left="720"/>
        <w:jc w:val="both"/>
        <w:rPr>
          <w:rFonts w:cs="Arial"/>
          <w:color w:val="auto"/>
        </w:rPr>
      </w:pPr>
      <w:r>
        <w:rPr>
          <w:rFonts w:cs="Arial"/>
          <w:color w:val="auto"/>
        </w:rPr>
        <w:t xml:space="preserve">I consider it arguable that </w:t>
      </w:r>
      <w:r w:rsidRPr="007C4996">
        <w:rPr>
          <w:rFonts w:cs="Arial"/>
          <w:color w:val="auto"/>
        </w:rPr>
        <w:t>NICE acted unfairly by allowing the EAG to make procedural and methodological changes without prior warning</w:t>
      </w:r>
      <w:r>
        <w:rPr>
          <w:rFonts w:cs="Arial"/>
          <w:color w:val="auto"/>
        </w:rPr>
        <w:t>.</w:t>
      </w:r>
    </w:p>
    <w:p w14:paraId="4BE0064D" w14:textId="3EDB50DC" w:rsidR="00782045" w:rsidRPr="007C4996" w:rsidRDefault="009D2AFB" w:rsidP="00BF1B6C">
      <w:pPr>
        <w:pStyle w:val="BodyText"/>
        <w:numPr>
          <w:ilvl w:val="0"/>
          <w:numId w:val="39"/>
        </w:numPr>
        <w:jc w:val="both"/>
        <w:rPr>
          <w:rFonts w:cs="Arial"/>
          <w:color w:val="auto"/>
        </w:rPr>
      </w:pPr>
      <w:r w:rsidRPr="00067E26">
        <w:rPr>
          <w:rFonts w:cs="Arial"/>
          <w:color w:val="auto"/>
        </w:rPr>
        <w:t>“</w:t>
      </w:r>
      <w:r w:rsidRPr="00067E26">
        <w:rPr>
          <w:rFonts w:cs="Arial"/>
          <w:i/>
          <w:iCs/>
          <w:color w:val="auto"/>
        </w:rPr>
        <w:t>Further</w:t>
      </w:r>
      <w:r w:rsidR="00902003" w:rsidRPr="00067E26">
        <w:rPr>
          <w:rFonts w:cs="Arial"/>
          <w:i/>
          <w:iCs/>
          <w:color w:val="auto"/>
        </w:rPr>
        <w:t>,</w:t>
      </w:r>
      <w:r w:rsidR="00DA1E64" w:rsidRPr="00067E26">
        <w:rPr>
          <w:rFonts w:cs="Arial"/>
          <w:i/>
          <w:iCs/>
          <w:color w:val="auto"/>
        </w:rPr>
        <w:t xml:space="preserve"> </w:t>
      </w:r>
      <w:r w:rsidRPr="00067E26">
        <w:rPr>
          <w:rFonts w:cs="Arial"/>
          <w:i/>
          <w:iCs/>
          <w:color w:val="auto"/>
        </w:rPr>
        <w:t>the Protocol states that:</w:t>
      </w:r>
      <w:r w:rsidRPr="00067E26">
        <w:rPr>
          <w:rFonts w:cs="Arial"/>
          <w:color w:val="auto"/>
        </w:rPr>
        <w:t xml:space="preserve"> “[i]t is anticipated that re-running of models may be required as new evidence emerges, for example if studies reporting new data on the efficacy of interventions, potentially to new variants of SARS-CoV-2, are published, however, this will be dependent on when the MTA is taken to a NICE Appraisal Committee.”</w:t>
      </w:r>
      <w:r w:rsidRPr="00067E26">
        <w:rPr>
          <w:rFonts w:cs="Arial"/>
          <w:i/>
          <w:iCs/>
          <w:color w:val="auto"/>
        </w:rPr>
        <w:t xml:space="preserve"> This </w:t>
      </w:r>
      <w:r w:rsidR="006171A6" w:rsidRPr="00067E26">
        <w:rPr>
          <w:rFonts w:cs="Arial"/>
          <w:i/>
          <w:iCs/>
          <w:color w:val="auto"/>
        </w:rPr>
        <w:t xml:space="preserve">suggests </w:t>
      </w:r>
      <w:r w:rsidR="00902003" w:rsidRPr="00067E26">
        <w:rPr>
          <w:rFonts w:cs="Arial"/>
          <w:i/>
          <w:iCs/>
          <w:color w:val="auto"/>
        </w:rPr>
        <w:t xml:space="preserve">that </w:t>
      </w:r>
      <w:r w:rsidR="006171A6" w:rsidRPr="00067E26">
        <w:rPr>
          <w:rFonts w:cs="Arial"/>
          <w:i/>
          <w:iCs/>
          <w:color w:val="auto"/>
        </w:rPr>
        <w:t xml:space="preserve">the procedure would be open </w:t>
      </w:r>
      <w:r w:rsidR="00902003" w:rsidRPr="00067E26">
        <w:rPr>
          <w:rFonts w:cs="Arial"/>
          <w:i/>
          <w:iCs/>
          <w:color w:val="auto"/>
        </w:rPr>
        <w:t>to considering</w:t>
      </w:r>
      <w:r w:rsidR="006171A6" w:rsidRPr="00067E26">
        <w:rPr>
          <w:rFonts w:cs="Arial"/>
          <w:i/>
          <w:iCs/>
          <w:color w:val="auto"/>
        </w:rPr>
        <w:t xml:space="preserve"> new data </w:t>
      </w:r>
      <w:r w:rsidR="00902003" w:rsidRPr="00067E26">
        <w:rPr>
          <w:rFonts w:cs="Arial"/>
          <w:i/>
          <w:iCs/>
          <w:color w:val="auto"/>
        </w:rPr>
        <w:t xml:space="preserve">as and when it emerged, </w:t>
      </w:r>
      <w:r w:rsidR="008136D8" w:rsidRPr="00067E26">
        <w:rPr>
          <w:rFonts w:cs="Arial"/>
          <w:i/>
          <w:iCs/>
          <w:color w:val="auto"/>
        </w:rPr>
        <w:t>which led to a legitimate expectation that all new data would be considered (or, possibly, only data whose exclusion would impact on the main conclusions. The confusion here, and the difficulty of being sure what will or will not impact on the main conclusions, highlights how unfair this process was)”</w:t>
      </w:r>
      <w:r w:rsidR="00A841CB" w:rsidRPr="00067E26">
        <w:rPr>
          <w:rFonts w:cs="Arial"/>
          <w:i/>
          <w:iCs/>
          <w:color w:val="auto"/>
        </w:rPr>
        <w:t>.</w:t>
      </w:r>
    </w:p>
    <w:p w14:paraId="7EB9D7A4" w14:textId="26CA3C65" w:rsidR="007C4996" w:rsidRPr="007C4996" w:rsidRDefault="007C4996" w:rsidP="007C4996">
      <w:pPr>
        <w:pStyle w:val="BodyText"/>
        <w:ind w:left="720"/>
        <w:jc w:val="both"/>
        <w:rPr>
          <w:rFonts w:cs="Arial"/>
          <w:color w:val="auto"/>
        </w:rPr>
      </w:pPr>
      <w:r>
        <w:rPr>
          <w:rFonts w:cs="Arial"/>
          <w:color w:val="auto"/>
        </w:rPr>
        <w:t xml:space="preserve">I am not minded to refer </w:t>
      </w:r>
      <w:r w:rsidR="003B52C8">
        <w:rPr>
          <w:rFonts w:cs="Arial"/>
          <w:color w:val="auto"/>
        </w:rPr>
        <w:t xml:space="preserve">this argument within 1a.2 as I do not consider it arguable as a standalone point. I have referred your arguments relating to the quality of the evidence review </w:t>
      </w:r>
      <w:r w:rsidR="003B52C8" w:rsidRPr="003B52C8">
        <w:rPr>
          <w:rFonts w:cs="Arial"/>
          <w:b/>
          <w:bCs/>
          <w:color w:val="auto"/>
          <w:u w:val="single"/>
        </w:rPr>
        <w:t xml:space="preserve">in fact </w:t>
      </w:r>
      <w:r w:rsidR="003B52C8">
        <w:rPr>
          <w:rFonts w:cs="Arial"/>
          <w:color w:val="auto"/>
        </w:rPr>
        <w:t xml:space="preserve">under point 1a.1 and 1a.3. </w:t>
      </w:r>
    </w:p>
    <w:p w14:paraId="05E10296" w14:textId="49973BDE" w:rsidR="00165ADB" w:rsidRPr="00067E26" w:rsidRDefault="00C53674" w:rsidP="005C4C98">
      <w:pPr>
        <w:pStyle w:val="BodyText"/>
        <w:jc w:val="both"/>
        <w:rPr>
          <w:rFonts w:cs="Arial"/>
          <w:b/>
          <w:color w:val="auto"/>
          <w:u w:val="single"/>
        </w:rPr>
      </w:pPr>
      <w:r w:rsidRPr="00067E26">
        <w:rPr>
          <w:rFonts w:cs="Arial"/>
          <w:b/>
          <w:color w:val="auto"/>
          <w:u w:val="single"/>
        </w:rPr>
        <w:t>Appeal point 1a.</w:t>
      </w:r>
      <w:r w:rsidR="00475E32" w:rsidRPr="00067E26">
        <w:rPr>
          <w:rFonts w:cs="Arial"/>
          <w:b/>
          <w:color w:val="auto"/>
          <w:u w:val="single"/>
        </w:rPr>
        <w:t>3</w:t>
      </w:r>
      <w:r w:rsidRPr="00067E26">
        <w:rPr>
          <w:rFonts w:cs="Arial"/>
          <w:b/>
          <w:color w:val="auto"/>
          <w:u w:val="single"/>
        </w:rPr>
        <w:t xml:space="preserve">; </w:t>
      </w:r>
      <w:r w:rsidR="00475E32" w:rsidRPr="00067E26">
        <w:rPr>
          <w:rFonts w:cs="Arial"/>
          <w:b/>
          <w:color w:val="auto"/>
          <w:u w:val="single"/>
        </w:rPr>
        <w:t xml:space="preserve">The Appraisal Committee’s closing its eyes entirely to relevant real-world evidence about </w:t>
      </w:r>
      <w:proofErr w:type="spellStart"/>
      <w:r w:rsidR="00475E32" w:rsidRPr="00067E26">
        <w:rPr>
          <w:rFonts w:cs="Arial"/>
          <w:b/>
          <w:color w:val="auto"/>
          <w:u w:val="single"/>
        </w:rPr>
        <w:t>molnupiravir</w:t>
      </w:r>
      <w:proofErr w:type="spellEnd"/>
      <w:r w:rsidR="00475E32" w:rsidRPr="00067E26">
        <w:rPr>
          <w:rFonts w:cs="Arial"/>
          <w:b/>
          <w:color w:val="auto"/>
          <w:u w:val="single"/>
        </w:rPr>
        <w:t xml:space="preserve"> proposed by MSD is procedurally unsound and led to an unfair assessment.</w:t>
      </w:r>
      <w:r w:rsidR="005C4C98">
        <w:rPr>
          <w:rFonts w:cs="Arial"/>
          <w:b/>
          <w:color w:val="auto"/>
          <w:u w:val="single"/>
        </w:rPr>
        <w:t xml:space="preserve"> ; </w:t>
      </w:r>
      <w:r w:rsidR="00165ADB" w:rsidRPr="00067E26">
        <w:rPr>
          <w:rFonts w:cs="Arial"/>
          <w:b/>
          <w:color w:val="auto"/>
          <w:u w:val="single"/>
        </w:rPr>
        <w:t>Appeal point 1a.4; The approach to real world evidence in this appraisal is inconsistent and runs contrary to the Guidance Manual and NICE’s obligation to carry out a fair and rational process.</w:t>
      </w:r>
    </w:p>
    <w:p w14:paraId="0D240738" w14:textId="769BF44A" w:rsidR="002635A5" w:rsidRPr="00067E26" w:rsidRDefault="00936467" w:rsidP="00067E26">
      <w:pPr>
        <w:spacing w:before="240" w:after="240" w:line="276" w:lineRule="auto"/>
        <w:jc w:val="both"/>
        <w:rPr>
          <w:rFonts w:cs="Arial"/>
          <w:color w:val="auto"/>
        </w:rPr>
      </w:pPr>
      <w:r w:rsidRPr="00067E26">
        <w:rPr>
          <w:rFonts w:cs="Arial"/>
          <w:color w:val="auto"/>
        </w:rPr>
        <w:t xml:space="preserve">I am minded to refer </w:t>
      </w:r>
      <w:r w:rsidR="00165ADB" w:rsidRPr="00067E26">
        <w:rPr>
          <w:rFonts w:cs="Arial"/>
          <w:color w:val="auto"/>
        </w:rPr>
        <w:t>your</w:t>
      </w:r>
      <w:r w:rsidRPr="00067E26">
        <w:rPr>
          <w:rFonts w:cs="Arial"/>
          <w:color w:val="auto"/>
        </w:rPr>
        <w:t xml:space="preserve"> appeal point</w:t>
      </w:r>
      <w:r w:rsidR="00165ADB" w:rsidRPr="00067E26">
        <w:rPr>
          <w:rFonts w:cs="Arial"/>
          <w:color w:val="auto"/>
        </w:rPr>
        <w:t>s numbered 1a.3 and 1a.4 together</w:t>
      </w:r>
      <w:r w:rsidRPr="00067E26">
        <w:rPr>
          <w:rFonts w:cs="Arial"/>
          <w:color w:val="auto"/>
        </w:rPr>
        <w:t xml:space="preserve"> to the Appeal Panel</w:t>
      </w:r>
      <w:r w:rsidR="00165ADB" w:rsidRPr="00067E26">
        <w:rPr>
          <w:rFonts w:cs="Arial"/>
          <w:color w:val="auto"/>
        </w:rPr>
        <w:t xml:space="preserve"> as a single appeal point.  </w:t>
      </w:r>
    </w:p>
    <w:p w14:paraId="3DEE4006" w14:textId="11686C9E" w:rsidR="008A4D40" w:rsidRPr="00067E26" w:rsidRDefault="00BD2726" w:rsidP="002635A5">
      <w:pPr>
        <w:spacing w:before="240" w:after="240" w:line="276" w:lineRule="auto"/>
        <w:jc w:val="both"/>
        <w:rPr>
          <w:rFonts w:cs="Arial"/>
          <w:color w:val="auto"/>
        </w:rPr>
      </w:pPr>
      <w:r w:rsidRPr="00067E26">
        <w:rPr>
          <w:rFonts w:cs="Arial"/>
          <w:color w:val="auto"/>
        </w:rPr>
        <w:lastRenderedPageBreak/>
        <w:t xml:space="preserve">I </w:t>
      </w:r>
      <w:r w:rsidR="00372735" w:rsidRPr="00067E26">
        <w:rPr>
          <w:rFonts w:cs="Arial"/>
          <w:color w:val="auto"/>
        </w:rPr>
        <w:t>consider that the combined appeal point can be summarised as covering</w:t>
      </w:r>
      <w:r w:rsidR="00DF2D96" w:rsidRPr="00067E26">
        <w:rPr>
          <w:rFonts w:cs="Arial"/>
          <w:color w:val="auto"/>
        </w:rPr>
        <w:t xml:space="preserve"> whether the Committee unfairly</w:t>
      </w:r>
      <w:r w:rsidR="008A4D40" w:rsidRPr="00067E26">
        <w:rPr>
          <w:rFonts w:cs="Arial"/>
          <w:color w:val="auto"/>
        </w:rPr>
        <w:t>:</w:t>
      </w:r>
    </w:p>
    <w:p w14:paraId="2A33DAD9" w14:textId="34F3C1C4" w:rsidR="008A4D40" w:rsidRPr="00067E26" w:rsidRDefault="00DF2D96" w:rsidP="008A4D40">
      <w:pPr>
        <w:pStyle w:val="ListParagraph"/>
        <w:numPr>
          <w:ilvl w:val="0"/>
          <w:numId w:val="46"/>
        </w:numPr>
        <w:spacing w:before="240" w:after="240" w:line="276" w:lineRule="auto"/>
        <w:jc w:val="both"/>
        <w:rPr>
          <w:rFonts w:cs="Arial"/>
        </w:rPr>
      </w:pPr>
      <w:r w:rsidRPr="00067E26">
        <w:rPr>
          <w:rFonts w:cs="Arial"/>
        </w:rPr>
        <w:t xml:space="preserve">failed to take adequate steps to </w:t>
      </w:r>
      <w:r w:rsidR="00165ADB" w:rsidRPr="00067E26">
        <w:rPr>
          <w:rFonts w:cs="Arial"/>
        </w:rPr>
        <w:t>identify evidence outside the public domain</w:t>
      </w:r>
      <w:r w:rsidR="008A4D40" w:rsidRPr="00067E26">
        <w:rPr>
          <w:rFonts w:cs="Arial"/>
        </w:rPr>
        <w:t>,</w:t>
      </w:r>
    </w:p>
    <w:p w14:paraId="3B288330" w14:textId="4392CE80" w:rsidR="008A4D40" w:rsidRPr="00067E26" w:rsidRDefault="00DF2D96" w:rsidP="008A4D40">
      <w:pPr>
        <w:pStyle w:val="ListParagraph"/>
        <w:numPr>
          <w:ilvl w:val="0"/>
          <w:numId w:val="46"/>
        </w:numPr>
        <w:spacing w:before="240" w:after="240" w:line="276" w:lineRule="auto"/>
        <w:jc w:val="both"/>
        <w:rPr>
          <w:rFonts w:cs="Arial"/>
        </w:rPr>
      </w:pPr>
      <w:r w:rsidRPr="00067E26">
        <w:rPr>
          <w:rFonts w:cs="Arial"/>
        </w:rPr>
        <w:t xml:space="preserve">failed to consider relevant </w:t>
      </w:r>
      <w:r w:rsidR="00905735" w:rsidRPr="00067E26">
        <w:rPr>
          <w:rFonts w:cs="Arial"/>
        </w:rPr>
        <w:t xml:space="preserve">RWE about </w:t>
      </w:r>
      <w:proofErr w:type="spellStart"/>
      <w:r w:rsidR="00905735" w:rsidRPr="00067E26">
        <w:rPr>
          <w:rFonts w:cs="Arial"/>
        </w:rPr>
        <w:t>molnupiravir</w:t>
      </w:r>
      <w:proofErr w:type="spellEnd"/>
      <w:r w:rsidR="00165ADB" w:rsidRPr="00067E26">
        <w:rPr>
          <w:rFonts w:cs="Arial"/>
        </w:rPr>
        <w:t>, particularly given its recognition of the “significant limitations” of the clinical evidence used in the appraisal and resulting uncertainty and the alleged particular relevance of the RWE that MSD presented</w:t>
      </w:r>
      <w:r w:rsidR="008A4D40" w:rsidRPr="00067E26">
        <w:rPr>
          <w:rFonts w:cs="Arial"/>
        </w:rPr>
        <w:t>, and/or</w:t>
      </w:r>
    </w:p>
    <w:p w14:paraId="259D6F78" w14:textId="77777777" w:rsidR="008A4D40" w:rsidRPr="00067E26" w:rsidRDefault="00DF2D96" w:rsidP="008A4D40">
      <w:pPr>
        <w:pStyle w:val="ListParagraph"/>
        <w:numPr>
          <w:ilvl w:val="0"/>
          <w:numId w:val="46"/>
        </w:numPr>
        <w:spacing w:before="240" w:after="240" w:line="276" w:lineRule="auto"/>
        <w:jc w:val="both"/>
        <w:rPr>
          <w:rFonts w:cs="Arial"/>
        </w:rPr>
      </w:pPr>
      <w:r w:rsidRPr="00067E26">
        <w:rPr>
          <w:rFonts w:cs="Arial"/>
        </w:rPr>
        <w:t>treated RWE inconsistentl</w:t>
      </w:r>
      <w:r w:rsidR="00410AA1" w:rsidRPr="00067E26">
        <w:rPr>
          <w:rFonts w:cs="Arial"/>
        </w:rPr>
        <w:t xml:space="preserve">y. </w:t>
      </w:r>
    </w:p>
    <w:p w14:paraId="22329862" w14:textId="7208CF80" w:rsidR="00DF0498" w:rsidRPr="00067E26" w:rsidRDefault="00542FCE" w:rsidP="008A4D40">
      <w:pPr>
        <w:spacing w:before="240" w:after="240" w:line="276" w:lineRule="auto"/>
        <w:jc w:val="both"/>
        <w:rPr>
          <w:rFonts w:cs="Arial"/>
          <w:color w:val="auto"/>
        </w:rPr>
      </w:pPr>
      <w:r w:rsidRPr="00067E26">
        <w:rPr>
          <w:rFonts w:cs="Arial"/>
          <w:color w:val="auto"/>
        </w:rPr>
        <w:t xml:space="preserve">I invite you to explain </w:t>
      </w:r>
      <w:r w:rsidR="00C33C68" w:rsidRPr="00067E26">
        <w:rPr>
          <w:rFonts w:cs="Arial"/>
          <w:color w:val="auto"/>
        </w:rPr>
        <w:t>in your response to this letter,</w:t>
      </w:r>
      <w:r w:rsidRPr="00067E26">
        <w:rPr>
          <w:rFonts w:cs="Arial"/>
          <w:color w:val="auto"/>
        </w:rPr>
        <w:t xml:space="preserve"> if there is any</w:t>
      </w:r>
      <w:r w:rsidR="00DF0498" w:rsidRPr="00067E26">
        <w:rPr>
          <w:rFonts w:cs="Arial"/>
          <w:color w:val="auto"/>
        </w:rPr>
        <w:t xml:space="preserve"> good reason for </w:t>
      </w:r>
      <w:r w:rsidRPr="00067E26">
        <w:rPr>
          <w:rFonts w:cs="Arial"/>
          <w:color w:val="auto"/>
        </w:rPr>
        <w:t xml:space="preserve">distinguishing between 1(a).3 and 1(a).4. </w:t>
      </w:r>
    </w:p>
    <w:p w14:paraId="510B0846" w14:textId="241CC2E3" w:rsidR="00C53674" w:rsidRPr="00067E26" w:rsidRDefault="00C53674" w:rsidP="00C53674">
      <w:pPr>
        <w:spacing w:before="240" w:after="240" w:line="276" w:lineRule="auto"/>
        <w:jc w:val="both"/>
        <w:rPr>
          <w:rFonts w:cs="Arial"/>
          <w:b/>
          <w:color w:val="auto"/>
          <w:u w:val="single"/>
        </w:rPr>
      </w:pPr>
      <w:r w:rsidRPr="00067E26">
        <w:rPr>
          <w:rFonts w:cs="Arial"/>
          <w:b/>
          <w:color w:val="auto"/>
          <w:u w:val="single"/>
        </w:rPr>
        <w:t>Appeal point 1a.</w:t>
      </w:r>
      <w:r w:rsidR="00CE5647" w:rsidRPr="00067E26">
        <w:rPr>
          <w:rFonts w:cs="Arial"/>
          <w:b/>
          <w:color w:val="auto"/>
          <w:u w:val="single"/>
        </w:rPr>
        <w:t>5</w:t>
      </w:r>
      <w:r w:rsidRPr="00067E26">
        <w:rPr>
          <w:rFonts w:cs="Arial"/>
          <w:b/>
          <w:color w:val="auto"/>
          <w:u w:val="single"/>
        </w:rPr>
        <w:t xml:space="preserve">; </w:t>
      </w:r>
      <w:r w:rsidR="00CE5647" w:rsidRPr="00067E26">
        <w:rPr>
          <w:rFonts w:cs="Arial"/>
          <w:b/>
          <w:color w:val="auto"/>
          <w:u w:val="single"/>
        </w:rPr>
        <w:t xml:space="preserve">The Appraisal Committee’s over-reliance on the PANORAMIC data to estimate the treatment benefit of </w:t>
      </w:r>
      <w:proofErr w:type="spellStart"/>
      <w:r w:rsidR="00CE5647" w:rsidRPr="00067E26">
        <w:rPr>
          <w:rFonts w:cs="Arial"/>
          <w:b/>
          <w:color w:val="auto"/>
          <w:u w:val="single"/>
        </w:rPr>
        <w:t>molnupiravir</w:t>
      </w:r>
      <w:proofErr w:type="spellEnd"/>
      <w:r w:rsidR="00CE5647" w:rsidRPr="00067E26">
        <w:rPr>
          <w:rFonts w:cs="Arial"/>
          <w:b/>
          <w:color w:val="auto"/>
          <w:u w:val="single"/>
        </w:rPr>
        <w:t xml:space="preserve"> and its approach to evidence synthesis were procedurally unfair.</w:t>
      </w:r>
    </w:p>
    <w:p w14:paraId="2F495021" w14:textId="125BD125" w:rsidR="00C53674" w:rsidRPr="00067E26" w:rsidRDefault="00C53674" w:rsidP="00C53674">
      <w:pPr>
        <w:pStyle w:val="BodyText"/>
        <w:jc w:val="both"/>
        <w:rPr>
          <w:rFonts w:cs="Arial"/>
          <w:color w:val="auto"/>
        </w:rPr>
      </w:pPr>
      <w:r w:rsidRPr="00067E26">
        <w:rPr>
          <w:rFonts w:cs="Arial"/>
          <w:color w:val="auto"/>
        </w:rPr>
        <w:t>I am</w:t>
      </w:r>
      <w:r w:rsidR="000A5046" w:rsidRPr="00067E26">
        <w:rPr>
          <w:rFonts w:cs="Arial"/>
          <w:color w:val="auto"/>
        </w:rPr>
        <w:t xml:space="preserve"> </w:t>
      </w:r>
      <w:r w:rsidR="00277475" w:rsidRPr="00067E26">
        <w:rPr>
          <w:rFonts w:cs="Arial"/>
          <w:color w:val="auto"/>
        </w:rPr>
        <w:t xml:space="preserve">not minded to refer this appeal point </w:t>
      </w:r>
      <w:r w:rsidR="00653468" w:rsidRPr="00067E26">
        <w:rPr>
          <w:rFonts w:cs="Arial"/>
          <w:color w:val="auto"/>
        </w:rPr>
        <w:t xml:space="preserve">as </w:t>
      </w:r>
      <w:r w:rsidR="00B04157" w:rsidRPr="00067E26">
        <w:rPr>
          <w:rFonts w:cs="Arial"/>
          <w:color w:val="auto"/>
        </w:rPr>
        <w:t xml:space="preserve">I see no arguable </w:t>
      </w:r>
      <w:r w:rsidR="001B3CCB" w:rsidRPr="00067E26">
        <w:rPr>
          <w:rFonts w:cs="Arial"/>
          <w:color w:val="auto"/>
        </w:rPr>
        <w:t>g</w:t>
      </w:r>
      <w:r w:rsidR="00F749A0" w:rsidRPr="00067E26">
        <w:rPr>
          <w:rFonts w:cs="Arial"/>
          <w:color w:val="auto"/>
        </w:rPr>
        <w:t xml:space="preserve">round 1(a) point </w:t>
      </w:r>
      <w:r w:rsidR="00B04157" w:rsidRPr="00067E26">
        <w:rPr>
          <w:rFonts w:cs="Arial"/>
          <w:color w:val="auto"/>
        </w:rPr>
        <w:t xml:space="preserve">here. </w:t>
      </w:r>
      <w:r w:rsidR="00367ABE" w:rsidRPr="00067E26">
        <w:rPr>
          <w:rFonts w:cs="Arial"/>
          <w:color w:val="auto"/>
        </w:rPr>
        <w:t>I consider the Committee was entitled</w:t>
      </w:r>
      <w:r w:rsidR="007B6E53" w:rsidRPr="00067E26">
        <w:rPr>
          <w:rFonts w:cs="Arial"/>
          <w:color w:val="auto"/>
        </w:rPr>
        <w:t xml:space="preserve"> as a matter of procedural fairness</w:t>
      </w:r>
      <w:r w:rsidR="00367ABE" w:rsidRPr="00067E26">
        <w:rPr>
          <w:rFonts w:cs="Arial"/>
          <w:color w:val="auto"/>
        </w:rPr>
        <w:t xml:space="preserve"> to handle the PANORAMIC data </w:t>
      </w:r>
      <w:r w:rsidR="007B6E53" w:rsidRPr="00067E26">
        <w:rPr>
          <w:rFonts w:cs="Arial"/>
          <w:color w:val="auto"/>
        </w:rPr>
        <w:t>as</w:t>
      </w:r>
      <w:r w:rsidR="00367ABE" w:rsidRPr="00067E26">
        <w:rPr>
          <w:rFonts w:cs="Arial"/>
          <w:color w:val="auto"/>
        </w:rPr>
        <w:t xml:space="preserve"> i</w:t>
      </w:r>
      <w:r w:rsidR="007B6E53" w:rsidRPr="00067E26">
        <w:rPr>
          <w:rFonts w:cs="Arial"/>
          <w:color w:val="auto"/>
        </w:rPr>
        <w:t>t</w:t>
      </w:r>
      <w:r w:rsidR="00367ABE" w:rsidRPr="00067E26">
        <w:rPr>
          <w:rFonts w:cs="Arial"/>
          <w:color w:val="auto"/>
        </w:rPr>
        <w:t xml:space="preserve"> did</w:t>
      </w:r>
      <w:r w:rsidR="00F749A0" w:rsidRPr="00067E26">
        <w:rPr>
          <w:rFonts w:cs="Arial"/>
          <w:color w:val="auto"/>
        </w:rPr>
        <w:t xml:space="preserve">. </w:t>
      </w:r>
    </w:p>
    <w:p w14:paraId="036B3C74" w14:textId="62881346" w:rsidR="00C53674" w:rsidRPr="00067E26" w:rsidRDefault="00C53674" w:rsidP="00C53674">
      <w:pPr>
        <w:spacing w:before="240" w:after="240" w:line="276" w:lineRule="auto"/>
        <w:jc w:val="both"/>
        <w:rPr>
          <w:rFonts w:cs="Arial"/>
          <w:b/>
          <w:color w:val="auto"/>
          <w:u w:val="single"/>
        </w:rPr>
      </w:pPr>
      <w:r w:rsidRPr="00067E26">
        <w:rPr>
          <w:rFonts w:cs="Arial"/>
          <w:b/>
          <w:color w:val="auto"/>
          <w:u w:val="single"/>
        </w:rPr>
        <w:t>Appeal point 1a.</w:t>
      </w:r>
      <w:r w:rsidR="00CE5647" w:rsidRPr="00067E26">
        <w:rPr>
          <w:rFonts w:cs="Arial"/>
          <w:b/>
          <w:color w:val="auto"/>
          <w:u w:val="single"/>
        </w:rPr>
        <w:t>6</w:t>
      </w:r>
      <w:r w:rsidRPr="00067E26">
        <w:rPr>
          <w:rFonts w:cs="Arial"/>
          <w:b/>
          <w:color w:val="auto"/>
          <w:u w:val="single"/>
        </w:rPr>
        <w:t xml:space="preserve">; </w:t>
      </w:r>
      <w:r w:rsidR="00CE5647" w:rsidRPr="00067E26">
        <w:rPr>
          <w:rFonts w:cs="Arial"/>
          <w:b/>
          <w:color w:val="auto"/>
          <w:u w:val="single"/>
        </w:rPr>
        <w:t xml:space="preserve">The Appraisal Committee’s blanket capping of the efficacy levels of all treatments, without due consideration of each individual case, resulted in considerable bias and unfairness against </w:t>
      </w:r>
      <w:proofErr w:type="spellStart"/>
      <w:r w:rsidR="00CE5647" w:rsidRPr="00067E26">
        <w:rPr>
          <w:rFonts w:cs="Arial"/>
          <w:b/>
          <w:color w:val="auto"/>
          <w:u w:val="single"/>
        </w:rPr>
        <w:t>molnupiravir</w:t>
      </w:r>
      <w:proofErr w:type="spellEnd"/>
      <w:r w:rsidR="00CE5647" w:rsidRPr="00067E26">
        <w:rPr>
          <w:rFonts w:cs="Arial"/>
          <w:b/>
          <w:color w:val="auto"/>
          <w:u w:val="single"/>
        </w:rPr>
        <w:t>.</w:t>
      </w:r>
    </w:p>
    <w:p w14:paraId="461D1C93" w14:textId="37DD3DF2" w:rsidR="000A5046" w:rsidRPr="00067E26" w:rsidRDefault="000A5046" w:rsidP="000A5046">
      <w:pPr>
        <w:pStyle w:val="BodyText"/>
        <w:jc w:val="both"/>
        <w:rPr>
          <w:rFonts w:cs="Arial"/>
          <w:color w:val="auto"/>
        </w:rPr>
      </w:pPr>
      <w:r w:rsidRPr="00067E26">
        <w:rPr>
          <w:rFonts w:cs="Arial"/>
          <w:color w:val="auto"/>
        </w:rPr>
        <w:t xml:space="preserve">I am not minded to refer this appeal point </w:t>
      </w:r>
      <w:proofErr w:type="spellStart"/>
      <w:r w:rsidR="008B15FA" w:rsidRPr="00067E26">
        <w:rPr>
          <w:rFonts w:cs="Arial"/>
          <w:color w:val="auto"/>
        </w:rPr>
        <w:t>under ground</w:t>
      </w:r>
      <w:proofErr w:type="spellEnd"/>
      <w:r w:rsidR="008B15FA" w:rsidRPr="00067E26">
        <w:rPr>
          <w:rFonts w:cs="Arial"/>
          <w:color w:val="auto"/>
        </w:rPr>
        <w:t xml:space="preserve"> 1(a) </w:t>
      </w:r>
      <w:r w:rsidR="001B3CCB" w:rsidRPr="00067E26">
        <w:rPr>
          <w:rFonts w:cs="Arial"/>
          <w:color w:val="auto"/>
        </w:rPr>
        <w:t xml:space="preserve">as again I see no arguable case </w:t>
      </w:r>
      <w:r w:rsidR="008B15FA" w:rsidRPr="00067E26">
        <w:rPr>
          <w:rFonts w:cs="Arial"/>
          <w:color w:val="auto"/>
        </w:rPr>
        <w:t>of procedural unfairness;</w:t>
      </w:r>
      <w:r w:rsidR="002E7387" w:rsidRPr="00067E26">
        <w:rPr>
          <w:rFonts w:cs="Arial"/>
          <w:color w:val="auto"/>
        </w:rPr>
        <w:t xml:space="preserve"> I will </w:t>
      </w:r>
      <w:r w:rsidR="008B15FA" w:rsidRPr="00067E26">
        <w:rPr>
          <w:rFonts w:cs="Arial"/>
          <w:color w:val="auto"/>
        </w:rPr>
        <w:t xml:space="preserve">however </w:t>
      </w:r>
      <w:r w:rsidR="002E7387" w:rsidRPr="00067E26">
        <w:rPr>
          <w:rFonts w:cs="Arial"/>
          <w:color w:val="auto"/>
        </w:rPr>
        <w:t xml:space="preserve">refer this as a ground 2 point as I consider it arguable that the Committee’s </w:t>
      </w:r>
      <w:r w:rsidR="00403955" w:rsidRPr="00067E26">
        <w:rPr>
          <w:rFonts w:cs="Arial"/>
          <w:color w:val="auto"/>
        </w:rPr>
        <w:t xml:space="preserve">approach of a blanket cap on efficacy levels was unreasonable. </w:t>
      </w:r>
    </w:p>
    <w:p w14:paraId="166901D6" w14:textId="5E12E9F1" w:rsidR="00C53674" w:rsidRPr="00067E26" w:rsidRDefault="00C53674" w:rsidP="00C53674">
      <w:pPr>
        <w:spacing w:before="240" w:after="240" w:line="276" w:lineRule="auto"/>
        <w:jc w:val="both"/>
        <w:rPr>
          <w:rFonts w:cs="Arial"/>
          <w:b/>
          <w:color w:val="auto"/>
          <w:u w:val="single"/>
        </w:rPr>
      </w:pPr>
      <w:r w:rsidRPr="00067E26">
        <w:rPr>
          <w:rFonts w:cs="Arial"/>
          <w:b/>
          <w:color w:val="auto"/>
          <w:u w:val="single"/>
        </w:rPr>
        <w:t>Appeal point 1a.</w:t>
      </w:r>
      <w:r w:rsidR="00CE5647" w:rsidRPr="00067E26">
        <w:rPr>
          <w:rFonts w:cs="Arial"/>
          <w:b/>
          <w:color w:val="auto"/>
          <w:u w:val="single"/>
        </w:rPr>
        <w:t>7</w:t>
      </w:r>
      <w:r w:rsidRPr="00067E26">
        <w:rPr>
          <w:rFonts w:cs="Arial"/>
          <w:b/>
          <w:color w:val="auto"/>
          <w:u w:val="single"/>
        </w:rPr>
        <w:t xml:space="preserve">; </w:t>
      </w:r>
      <w:r w:rsidR="00CE5647" w:rsidRPr="00067E26">
        <w:rPr>
          <w:rFonts w:cs="Arial"/>
          <w:b/>
          <w:color w:val="auto"/>
          <w:u w:val="single"/>
        </w:rPr>
        <w:t xml:space="preserve">NICE unduly focused on mortality and hospitalisation rates to assess clinical benefit rates and failed to give due consideration to other outcome measures, thereby creating bias against </w:t>
      </w:r>
      <w:proofErr w:type="spellStart"/>
      <w:r w:rsidR="00CE5647" w:rsidRPr="00067E26">
        <w:rPr>
          <w:rFonts w:cs="Arial"/>
          <w:b/>
          <w:color w:val="auto"/>
          <w:u w:val="single"/>
        </w:rPr>
        <w:t>molnupiravir</w:t>
      </w:r>
      <w:proofErr w:type="spellEnd"/>
      <w:r w:rsidR="00CE5647" w:rsidRPr="00067E26">
        <w:rPr>
          <w:rFonts w:cs="Arial"/>
          <w:b/>
          <w:color w:val="auto"/>
          <w:u w:val="single"/>
        </w:rPr>
        <w:t>.</w:t>
      </w:r>
    </w:p>
    <w:p w14:paraId="1DF4AE54" w14:textId="47DA17FC" w:rsidR="00A95E73" w:rsidRPr="00067E26" w:rsidRDefault="00C53674" w:rsidP="00C53674">
      <w:pPr>
        <w:pStyle w:val="BodyText"/>
        <w:jc w:val="both"/>
        <w:rPr>
          <w:rFonts w:cs="Arial"/>
          <w:color w:val="auto"/>
        </w:rPr>
      </w:pPr>
      <w:r w:rsidRPr="00067E26">
        <w:rPr>
          <w:rFonts w:cs="Arial"/>
          <w:color w:val="auto"/>
        </w:rPr>
        <w:t>I am</w:t>
      </w:r>
      <w:r w:rsidR="007C4996" w:rsidRPr="00067E26">
        <w:rPr>
          <w:rFonts w:cs="Arial"/>
          <w:color w:val="auto"/>
        </w:rPr>
        <w:t xml:space="preserve"> </w:t>
      </w:r>
      <w:r w:rsidRPr="00067E26">
        <w:rPr>
          <w:rFonts w:cs="Arial"/>
          <w:color w:val="auto"/>
        </w:rPr>
        <w:t>minded to refer this appeal point to the Appeal Panel</w:t>
      </w:r>
      <w:r w:rsidR="007C4996">
        <w:rPr>
          <w:rFonts w:cs="Arial"/>
          <w:color w:val="auto"/>
        </w:rPr>
        <w:t xml:space="preserve"> on the limited basis that it is arguably procedurally unfair that the appraisal</w:t>
      </w:r>
      <w:r w:rsidR="000E3D27">
        <w:rPr>
          <w:rFonts w:cs="Arial"/>
          <w:color w:val="auto"/>
        </w:rPr>
        <w:t xml:space="preserve"> </w:t>
      </w:r>
      <w:r w:rsidR="007C4996">
        <w:rPr>
          <w:rFonts w:cs="Arial"/>
          <w:color w:val="auto"/>
        </w:rPr>
        <w:t>departed from the final scope by omitting</w:t>
      </w:r>
      <w:r w:rsidR="007C4996" w:rsidRPr="007C4996">
        <w:t xml:space="preserve"> </w:t>
      </w:r>
      <w:r w:rsidR="007C4996" w:rsidRPr="007C4996">
        <w:rPr>
          <w:rFonts w:cs="Arial"/>
          <w:color w:val="auto"/>
        </w:rPr>
        <w:t xml:space="preserve">virological outcomes from </w:t>
      </w:r>
      <w:r w:rsidR="007C4996">
        <w:rPr>
          <w:rFonts w:cs="Arial"/>
          <w:color w:val="auto"/>
        </w:rPr>
        <w:t xml:space="preserve">the </w:t>
      </w:r>
      <w:r w:rsidR="007C4996" w:rsidRPr="007C4996">
        <w:rPr>
          <w:rFonts w:cs="Arial"/>
          <w:color w:val="auto"/>
        </w:rPr>
        <w:t>consideration of outcome measures</w:t>
      </w:r>
      <w:r w:rsidRPr="00067E26">
        <w:rPr>
          <w:rFonts w:cs="Arial"/>
          <w:color w:val="auto"/>
        </w:rPr>
        <w:t>.</w:t>
      </w:r>
    </w:p>
    <w:p w14:paraId="14A1A22B" w14:textId="77777777" w:rsidR="007C4996" w:rsidRDefault="007C4996" w:rsidP="00C53674">
      <w:pPr>
        <w:pStyle w:val="BodyText"/>
        <w:jc w:val="both"/>
        <w:rPr>
          <w:rFonts w:cs="Arial"/>
          <w:color w:val="auto"/>
        </w:rPr>
      </w:pPr>
      <w:r>
        <w:rPr>
          <w:rFonts w:cs="Arial"/>
          <w:color w:val="auto"/>
        </w:rPr>
        <w:t xml:space="preserve">I am not minded to refer the remainder of the point for the following reasons. </w:t>
      </w:r>
    </w:p>
    <w:p w14:paraId="0DEDC4D0" w14:textId="2C996AC4" w:rsidR="00D66E40" w:rsidRPr="00067E26" w:rsidRDefault="00D66E40" w:rsidP="00C53674">
      <w:pPr>
        <w:pStyle w:val="BodyText"/>
        <w:jc w:val="both"/>
        <w:rPr>
          <w:color w:val="auto"/>
        </w:rPr>
      </w:pPr>
      <w:r w:rsidRPr="00067E26">
        <w:rPr>
          <w:rFonts w:cs="Arial"/>
          <w:color w:val="auto"/>
        </w:rPr>
        <w:t>I note you say</w:t>
      </w:r>
      <w:r w:rsidR="00372735" w:rsidRPr="00067E26">
        <w:rPr>
          <w:rFonts w:cs="Arial"/>
          <w:color w:val="auto"/>
        </w:rPr>
        <w:t xml:space="preserve"> that</w:t>
      </w:r>
      <w:r w:rsidRPr="00067E26">
        <w:rPr>
          <w:rFonts w:cs="Arial"/>
          <w:color w:val="auto"/>
        </w:rPr>
        <w:t xml:space="preserve"> “</w:t>
      </w:r>
      <w:r w:rsidRPr="00067E26">
        <w:rPr>
          <w:color w:val="auto"/>
        </w:rPr>
        <w:t>The central issue in this appeal ground is whether hospitalisation and mortality ought to have held such primacy over other outcome measures”</w:t>
      </w:r>
      <w:r w:rsidR="00A064C6" w:rsidRPr="00067E26">
        <w:rPr>
          <w:color w:val="auto"/>
        </w:rPr>
        <w:t xml:space="preserve"> and MSD</w:t>
      </w:r>
      <w:r w:rsidRPr="00067E26">
        <w:rPr>
          <w:color w:val="auto"/>
        </w:rPr>
        <w:t xml:space="preserve"> </w:t>
      </w:r>
      <w:r w:rsidR="00A064C6" w:rsidRPr="00067E26">
        <w:rPr>
          <w:color w:val="auto"/>
        </w:rPr>
        <w:t>submits</w:t>
      </w:r>
      <w:r w:rsidR="00372735" w:rsidRPr="00067E26">
        <w:rPr>
          <w:color w:val="auto"/>
        </w:rPr>
        <w:t xml:space="preserve"> that</w:t>
      </w:r>
      <w:r w:rsidR="00A064C6" w:rsidRPr="00067E26">
        <w:rPr>
          <w:color w:val="auto"/>
        </w:rPr>
        <w:t xml:space="preserve"> the Appraisal Committee’s approach is “irrational, procedurally unsound and leads to bias against </w:t>
      </w:r>
      <w:proofErr w:type="spellStart"/>
      <w:r w:rsidR="00A064C6" w:rsidRPr="00067E26">
        <w:rPr>
          <w:color w:val="auto"/>
        </w:rPr>
        <w:t>molnupiravir</w:t>
      </w:r>
      <w:proofErr w:type="spellEnd"/>
      <w:r w:rsidR="00A064C6" w:rsidRPr="00067E26">
        <w:rPr>
          <w:color w:val="auto"/>
        </w:rPr>
        <w:t xml:space="preserve">” for four reasons set out in your appeal letter. </w:t>
      </w:r>
    </w:p>
    <w:p w14:paraId="76F7C729" w14:textId="7B0D1F21" w:rsidR="00A064C6" w:rsidRPr="00067E26" w:rsidRDefault="00A064C6" w:rsidP="00A064C6">
      <w:pPr>
        <w:pStyle w:val="BodyText"/>
        <w:jc w:val="both"/>
        <w:rPr>
          <w:rFonts w:cs="Arial"/>
          <w:color w:val="auto"/>
        </w:rPr>
      </w:pPr>
      <w:r w:rsidRPr="00067E26">
        <w:rPr>
          <w:rFonts w:cs="Arial"/>
          <w:color w:val="auto"/>
        </w:rPr>
        <w:t>I consider it clear that the committee’s focus on mortality and hospitalisations stems from the fact that they are the key drivers for cost-effectiveness and therefore play a key role in driving the appraisal outcome.   Page 3 of the FDG explains ‘</w:t>
      </w:r>
      <w:r w:rsidRPr="00067E26">
        <w:rPr>
          <w:rFonts w:cs="Arial"/>
          <w:i/>
          <w:iCs/>
          <w:color w:val="auto"/>
        </w:rPr>
        <w:t>The cost-effectiveness estimates are highly dependent on how well each treatment works compared with standard care, and hospitalisation and mortality rates</w:t>
      </w:r>
      <w:r w:rsidRPr="00067E26">
        <w:rPr>
          <w:rFonts w:cs="Arial"/>
          <w:color w:val="auto"/>
        </w:rPr>
        <w:t xml:space="preserve">.’  Whilst it is acknowledged by the committee that the changing circumstances around COVID-19 were driving other benefits this does not significantly impact on the overall cost effectiveness which was driven by mortality and hospitalisation.  The committee set out their reasoning and the key drivers of cost-effectiveness in paragraph 3.21 of the FDG.  </w:t>
      </w:r>
      <w:r w:rsidR="00170431" w:rsidRPr="00067E26">
        <w:rPr>
          <w:rFonts w:cs="Arial"/>
          <w:color w:val="auto"/>
        </w:rPr>
        <w:t xml:space="preserve">I therefore disagree </w:t>
      </w:r>
      <w:r w:rsidR="00170431" w:rsidRPr="00067E26">
        <w:rPr>
          <w:color w:val="auto"/>
        </w:rPr>
        <w:t xml:space="preserve">with your point (3) that </w:t>
      </w:r>
      <w:r w:rsidR="00170431" w:rsidRPr="00067E26">
        <w:rPr>
          <w:i/>
          <w:iCs/>
          <w:color w:val="auto"/>
        </w:rPr>
        <w:t xml:space="preserve">“the Appraisal </w:t>
      </w:r>
      <w:r w:rsidR="00170431" w:rsidRPr="00067E26">
        <w:rPr>
          <w:i/>
          <w:iCs/>
          <w:color w:val="auto"/>
        </w:rPr>
        <w:lastRenderedPageBreak/>
        <w:t>Committee’s reasons for pursuing a narrow focus on hospitalisation and mortality in preference to other outcome measures is unexplained</w:t>
      </w:r>
      <w:r w:rsidR="00170431" w:rsidRPr="00067E26">
        <w:rPr>
          <w:color w:val="auto"/>
        </w:rPr>
        <w:t>”.</w:t>
      </w:r>
    </w:p>
    <w:p w14:paraId="7F63151F" w14:textId="77777777" w:rsidR="003F4FBF" w:rsidRPr="00067E26" w:rsidRDefault="00037C8E" w:rsidP="00BC2504">
      <w:pPr>
        <w:pStyle w:val="BodyText"/>
        <w:jc w:val="both"/>
        <w:rPr>
          <w:rFonts w:cs="Arial"/>
          <w:color w:val="auto"/>
        </w:rPr>
      </w:pPr>
      <w:r w:rsidRPr="00067E26">
        <w:rPr>
          <w:rFonts w:cs="Arial"/>
          <w:color w:val="auto"/>
        </w:rPr>
        <w:t>Even if I accept your argument</w:t>
      </w:r>
      <w:r w:rsidR="00857990" w:rsidRPr="00067E26">
        <w:rPr>
          <w:rFonts w:cs="Arial"/>
          <w:color w:val="auto"/>
        </w:rPr>
        <w:t xml:space="preserve">s at (2) and (4) </w:t>
      </w:r>
      <w:r w:rsidRPr="00067E26">
        <w:rPr>
          <w:rFonts w:cs="Arial"/>
          <w:color w:val="auto"/>
        </w:rPr>
        <w:t xml:space="preserve">that </w:t>
      </w:r>
      <w:r w:rsidR="00BC2504" w:rsidRPr="00067E26">
        <w:rPr>
          <w:rFonts w:cs="Arial"/>
          <w:color w:val="auto"/>
        </w:rPr>
        <w:t xml:space="preserve">“the true benefits of </w:t>
      </w:r>
      <w:proofErr w:type="spellStart"/>
      <w:r w:rsidR="00BC2504" w:rsidRPr="00067E26">
        <w:rPr>
          <w:rFonts w:cs="Arial"/>
          <w:color w:val="auto"/>
        </w:rPr>
        <w:t>molnupiravir</w:t>
      </w:r>
      <w:proofErr w:type="spellEnd"/>
      <w:r w:rsidR="00BC2504" w:rsidRPr="00067E26">
        <w:rPr>
          <w:rFonts w:cs="Arial"/>
          <w:color w:val="auto"/>
        </w:rPr>
        <w:t xml:space="preserve"> were inadequately assessed in the MTA and omitted from the EAG’s economic model” </w:t>
      </w:r>
      <w:r w:rsidR="00857990" w:rsidRPr="00067E26">
        <w:rPr>
          <w:rFonts w:cs="Arial"/>
          <w:color w:val="auto"/>
        </w:rPr>
        <w:t>and “</w:t>
      </w:r>
      <w:r w:rsidR="00857990" w:rsidRPr="00067E26">
        <w:rPr>
          <w:color w:val="auto"/>
        </w:rPr>
        <w:t xml:space="preserve">The assessment does not take into account a range of uncaptured benefits for </w:t>
      </w:r>
      <w:proofErr w:type="spellStart"/>
      <w:r w:rsidR="00857990" w:rsidRPr="00067E26">
        <w:rPr>
          <w:color w:val="auto"/>
        </w:rPr>
        <w:t>molnupiravir</w:t>
      </w:r>
      <w:proofErr w:type="spellEnd"/>
      <w:r w:rsidR="00857990" w:rsidRPr="00067E26">
        <w:rPr>
          <w:color w:val="auto"/>
        </w:rPr>
        <w:t xml:space="preserve">”, </w:t>
      </w:r>
      <w:r w:rsidR="00BC2504" w:rsidRPr="00067E26">
        <w:rPr>
          <w:rFonts w:cs="Arial"/>
          <w:color w:val="auto"/>
        </w:rPr>
        <w:t>I do not see that this creates a</w:t>
      </w:r>
      <w:r w:rsidR="00857990" w:rsidRPr="00067E26">
        <w:rPr>
          <w:rFonts w:cs="Arial"/>
          <w:color w:val="auto"/>
        </w:rPr>
        <w:t xml:space="preserve">ny </w:t>
      </w:r>
      <w:r w:rsidR="00BC2504" w:rsidRPr="00067E26">
        <w:rPr>
          <w:rFonts w:cs="Arial"/>
          <w:color w:val="auto"/>
        </w:rPr>
        <w:t xml:space="preserve">procedural unfairness in the Committee deciding </w:t>
      </w:r>
      <w:r w:rsidR="0015082F" w:rsidRPr="00067E26">
        <w:rPr>
          <w:rFonts w:cs="Arial"/>
          <w:color w:val="auto"/>
        </w:rPr>
        <w:t>to apply greate</w:t>
      </w:r>
      <w:r w:rsidR="00BC2504" w:rsidRPr="00067E26">
        <w:rPr>
          <w:rFonts w:cs="Arial"/>
          <w:color w:val="auto"/>
        </w:rPr>
        <w:t>st</w:t>
      </w:r>
      <w:r w:rsidR="0015082F" w:rsidRPr="00067E26">
        <w:rPr>
          <w:rFonts w:cs="Arial"/>
          <w:color w:val="auto"/>
        </w:rPr>
        <w:t xml:space="preserve"> weight to the measures which </w:t>
      </w:r>
      <w:r w:rsidR="00BC2504" w:rsidRPr="00067E26">
        <w:rPr>
          <w:rFonts w:cs="Arial"/>
          <w:color w:val="auto"/>
        </w:rPr>
        <w:t xml:space="preserve">they consider </w:t>
      </w:r>
      <w:r w:rsidR="00D3190E" w:rsidRPr="00067E26">
        <w:rPr>
          <w:rFonts w:cs="Arial"/>
          <w:color w:val="auto"/>
        </w:rPr>
        <w:t xml:space="preserve">drive the cost effectiveness </w:t>
      </w:r>
      <w:r w:rsidR="00BC2504" w:rsidRPr="00067E26">
        <w:rPr>
          <w:rFonts w:cs="Arial"/>
          <w:color w:val="auto"/>
        </w:rPr>
        <w:t>in this appraisal</w:t>
      </w:r>
      <w:r w:rsidR="00820504" w:rsidRPr="00067E26">
        <w:rPr>
          <w:rFonts w:cs="Arial"/>
          <w:color w:val="auto"/>
        </w:rPr>
        <w:t xml:space="preserve">. </w:t>
      </w:r>
    </w:p>
    <w:p w14:paraId="557828BC" w14:textId="25245F27" w:rsidR="00C53674" w:rsidRPr="00067E26" w:rsidRDefault="00820504" w:rsidP="00BC2504">
      <w:pPr>
        <w:pStyle w:val="BodyText"/>
        <w:jc w:val="both"/>
        <w:rPr>
          <w:rFonts w:cs="Arial"/>
          <w:color w:val="auto"/>
        </w:rPr>
      </w:pPr>
      <w:r w:rsidRPr="00067E26">
        <w:rPr>
          <w:rFonts w:cs="Arial"/>
          <w:color w:val="auto"/>
        </w:rPr>
        <w:t>I will however refer your argument under your point 1(a).7(2) (</w:t>
      </w:r>
      <w:r w:rsidR="003F4FBF" w:rsidRPr="00067E26">
        <w:rPr>
          <w:rFonts w:cs="Arial"/>
          <w:color w:val="auto"/>
        </w:rPr>
        <w:t>“</w:t>
      </w:r>
      <w:r w:rsidR="003F4FBF" w:rsidRPr="00067E26">
        <w:rPr>
          <w:rFonts w:cs="Arial"/>
          <w:i/>
          <w:iCs/>
          <w:color w:val="auto"/>
        </w:rPr>
        <w:t xml:space="preserve">The true benefits of </w:t>
      </w:r>
      <w:proofErr w:type="spellStart"/>
      <w:r w:rsidR="003F4FBF" w:rsidRPr="00067E26">
        <w:rPr>
          <w:rFonts w:cs="Arial"/>
          <w:i/>
          <w:iCs/>
          <w:color w:val="auto"/>
        </w:rPr>
        <w:t>molnupiravir</w:t>
      </w:r>
      <w:proofErr w:type="spellEnd"/>
      <w:r w:rsidR="003F4FBF" w:rsidRPr="00067E26">
        <w:rPr>
          <w:rFonts w:cs="Arial"/>
          <w:i/>
          <w:iCs/>
          <w:color w:val="auto"/>
        </w:rPr>
        <w:t xml:space="preserve"> were inadequately assessed in the MTA and omitted from the EAG’s economic model</w:t>
      </w:r>
      <w:r w:rsidR="003F4FBF" w:rsidRPr="00067E26">
        <w:rPr>
          <w:rFonts w:cs="Arial"/>
          <w:color w:val="auto"/>
        </w:rPr>
        <w:t>”) as a valid ground 2 point</w:t>
      </w:r>
      <w:r w:rsidR="00984EFD" w:rsidRPr="00067E26">
        <w:rPr>
          <w:rFonts w:cs="Arial"/>
          <w:color w:val="auto"/>
        </w:rPr>
        <w:t xml:space="preserve">.   </w:t>
      </w:r>
    </w:p>
    <w:p w14:paraId="42AEE7D8" w14:textId="7B50EFFF" w:rsidR="00F64AF3" w:rsidRPr="00067E26" w:rsidRDefault="00F64AF3" w:rsidP="00F64AF3">
      <w:pPr>
        <w:spacing w:before="240" w:after="240" w:line="276" w:lineRule="auto"/>
        <w:jc w:val="both"/>
        <w:rPr>
          <w:rFonts w:cs="Arial"/>
          <w:b/>
          <w:color w:val="auto"/>
          <w:u w:val="single"/>
        </w:rPr>
      </w:pPr>
      <w:r w:rsidRPr="00067E26">
        <w:rPr>
          <w:rFonts w:cs="Arial"/>
          <w:b/>
          <w:i/>
          <w:color w:val="auto"/>
        </w:rPr>
        <w:t xml:space="preserve">Ground 1b: </w:t>
      </w:r>
      <w:r w:rsidR="00AD3C0F" w:rsidRPr="00067E26">
        <w:rPr>
          <w:rFonts w:cs="Arial"/>
          <w:b/>
          <w:i/>
          <w:color w:val="auto"/>
        </w:rPr>
        <w:t xml:space="preserve">In making the assessment that preceded the recommendation, NICE has </w:t>
      </w:r>
      <w:r w:rsidR="00DF6ED3" w:rsidRPr="00067E26">
        <w:rPr>
          <w:rFonts w:cs="Arial"/>
          <w:b/>
          <w:i/>
          <w:color w:val="auto"/>
        </w:rPr>
        <w:t>exceeded its powers</w:t>
      </w:r>
    </w:p>
    <w:p w14:paraId="3C20BF55" w14:textId="15CEFA16" w:rsidR="00C53674" w:rsidRPr="00067E26" w:rsidRDefault="00C53674" w:rsidP="00C53674">
      <w:pPr>
        <w:spacing w:before="240" w:after="240" w:line="276" w:lineRule="auto"/>
        <w:jc w:val="both"/>
        <w:rPr>
          <w:rFonts w:cs="Arial"/>
          <w:b/>
          <w:color w:val="auto"/>
          <w:u w:val="single"/>
        </w:rPr>
      </w:pPr>
      <w:r w:rsidRPr="00067E26">
        <w:rPr>
          <w:rFonts w:cs="Arial"/>
          <w:b/>
          <w:color w:val="auto"/>
          <w:u w:val="single"/>
        </w:rPr>
        <w:t>Appeal point 1</w:t>
      </w:r>
      <w:r w:rsidR="00366A70" w:rsidRPr="00067E26">
        <w:rPr>
          <w:rFonts w:cs="Arial"/>
          <w:b/>
          <w:color w:val="auto"/>
          <w:u w:val="single"/>
        </w:rPr>
        <w:t>b.1</w:t>
      </w:r>
      <w:r w:rsidRPr="00067E26">
        <w:rPr>
          <w:rFonts w:cs="Arial"/>
          <w:b/>
          <w:color w:val="auto"/>
          <w:u w:val="single"/>
        </w:rPr>
        <w:t xml:space="preserve">; </w:t>
      </w:r>
      <w:r w:rsidR="00366A70" w:rsidRPr="00067E26">
        <w:rPr>
          <w:rFonts w:cs="Arial"/>
          <w:b/>
          <w:color w:val="auto"/>
          <w:u w:val="single"/>
        </w:rPr>
        <w:t>NICE has breached its legal obligations under human rights and equalities laws.</w:t>
      </w:r>
    </w:p>
    <w:p w14:paraId="43021A50" w14:textId="3CBE2414" w:rsidR="00FA6767" w:rsidRPr="00067E26" w:rsidRDefault="00FA6767" w:rsidP="00C53674">
      <w:pPr>
        <w:pStyle w:val="BodyText"/>
        <w:jc w:val="both"/>
        <w:rPr>
          <w:rFonts w:cs="Arial"/>
          <w:color w:val="auto"/>
        </w:rPr>
      </w:pPr>
      <w:r w:rsidRPr="00067E26">
        <w:rPr>
          <w:rFonts w:cs="Arial"/>
          <w:color w:val="auto"/>
        </w:rPr>
        <w:t>I am</w:t>
      </w:r>
      <w:r w:rsidR="00BA2582" w:rsidRPr="00067E26">
        <w:rPr>
          <w:rFonts w:cs="Arial"/>
          <w:color w:val="auto"/>
        </w:rPr>
        <w:t xml:space="preserve"> currently</w:t>
      </w:r>
      <w:r w:rsidRPr="00067E26">
        <w:rPr>
          <w:rFonts w:cs="Arial"/>
          <w:color w:val="auto"/>
        </w:rPr>
        <w:t xml:space="preserve"> minded to refer this appeal point; but would be grateful for further </w:t>
      </w:r>
      <w:r w:rsidR="00BA2582" w:rsidRPr="00067E26">
        <w:rPr>
          <w:rFonts w:cs="Arial"/>
          <w:color w:val="auto"/>
        </w:rPr>
        <w:t>explanation</w:t>
      </w:r>
      <w:r w:rsidRPr="00067E26">
        <w:rPr>
          <w:rFonts w:cs="Arial"/>
          <w:color w:val="auto"/>
        </w:rPr>
        <w:t xml:space="preserve"> from you before reaching my final decision.</w:t>
      </w:r>
    </w:p>
    <w:p w14:paraId="2CF1D04A" w14:textId="4C1454B2" w:rsidR="00FA6767" w:rsidRPr="00067E26" w:rsidRDefault="00FA6767" w:rsidP="00C53674">
      <w:pPr>
        <w:pStyle w:val="BodyText"/>
        <w:jc w:val="both"/>
        <w:rPr>
          <w:rFonts w:cs="Arial"/>
          <w:color w:val="auto"/>
        </w:rPr>
      </w:pPr>
      <w:r w:rsidRPr="00067E26">
        <w:rPr>
          <w:rFonts w:cs="Arial"/>
          <w:color w:val="auto"/>
        </w:rPr>
        <w:t>In summary, I understand your argument here to be as follows:</w:t>
      </w:r>
    </w:p>
    <w:p w14:paraId="5568F29E" w14:textId="281EA049" w:rsidR="00FA6767" w:rsidRPr="00067E26" w:rsidRDefault="00FA6767" w:rsidP="00FA6767">
      <w:pPr>
        <w:pStyle w:val="BodyText"/>
        <w:numPr>
          <w:ilvl w:val="0"/>
          <w:numId w:val="48"/>
        </w:numPr>
        <w:jc w:val="both"/>
        <w:rPr>
          <w:rFonts w:cs="Arial"/>
          <w:color w:val="auto"/>
        </w:rPr>
      </w:pPr>
      <w:r w:rsidRPr="00067E26">
        <w:rPr>
          <w:color w:val="auto"/>
        </w:rPr>
        <w:t xml:space="preserve">nirmatrelvir plus ritonavir, which is recommended </w:t>
      </w:r>
      <w:r w:rsidR="007C4996">
        <w:rPr>
          <w:color w:val="auto"/>
        </w:rPr>
        <w:t xml:space="preserve">within its licensed indication </w:t>
      </w:r>
      <w:r w:rsidRPr="00067E26">
        <w:rPr>
          <w:color w:val="auto"/>
        </w:rPr>
        <w:t>for mild Covid-19, is contra-indicated for</w:t>
      </w:r>
      <w:r w:rsidRPr="00067E26">
        <w:rPr>
          <w:rFonts w:cs="Arial"/>
          <w:color w:val="auto"/>
        </w:rPr>
        <w:t xml:space="preserve"> some patients with protected characteristics</w:t>
      </w:r>
    </w:p>
    <w:p w14:paraId="304C97DA" w14:textId="0687B0E0" w:rsidR="00FA6767" w:rsidRPr="00067E26" w:rsidRDefault="00FA6767" w:rsidP="00FA6767">
      <w:pPr>
        <w:pStyle w:val="BodyText"/>
        <w:numPr>
          <w:ilvl w:val="0"/>
          <w:numId w:val="48"/>
        </w:numPr>
        <w:jc w:val="both"/>
        <w:rPr>
          <w:rFonts w:cs="Arial"/>
          <w:color w:val="auto"/>
        </w:rPr>
      </w:pPr>
      <w:r w:rsidRPr="00067E26">
        <w:rPr>
          <w:color w:val="auto"/>
        </w:rPr>
        <w:t xml:space="preserve">mindful of this, the Committee explored alternatives and recommended sotrovimab </w:t>
      </w:r>
      <w:r w:rsidR="00C15497">
        <w:rPr>
          <w:color w:val="auto"/>
        </w:rPr>
        <w:t xml:space="preserve">within its licensed indication </w:t>
      </w:r>
      <w:r w:rsidRPr="00067E26">
        <w:rPr>
          <w:color w:val="auto"/>
        </w:rPr>
        <w:t>where nirmatrelvir plus ritonavir is contraindicated.</w:t>
      </w:r>
    </w:p>
    <w:p w14:paraId="4416DDB6" w14:textId="535CEEF9" w:rsidR="00FA6767" w:rsidRPr="00067E26" w:rsidRDefault="00FA6767" w:rsidP="00FA6767">
      <w:pPr>
        <w:pStyle w:val="BodyText"/>
        <w:numPr>
          <w:ilvl w:val="0"/>
          <w:numId w:val="48"/>
        </w:numPr>
        <w:jc w:val="both"/>
        <w:rPr>
          <w:rFonts w:cs="Arial"/>
          <w:color w:val="auto"/>
        </w:rPr>
      </w:pPr>
      <w:r w:rsidRPr="00067E26">
        <w:rPr>
          <w:color w:val="auto"/>
        </w:rPr>
        <w:t xml:space="preserve">Sotrovimab is a more intrusive treatment than nirmatrelvir plus ritonavir, has different side effects, and ‘IV therapies [such as </w:t>
      </w:r>
      <w:r w:rsidR="00067E26" w:rsidRPr="00067E26">
        <w:rPr>
          <w:color w:val="auto"/>
        </w:rPr>
        <w:t>s</w:t>
      </w:r>
      <w:r w:rsidRPr="00067E26">
        <w:rPr>
          <w:color w:val="auto"/>
        </w:rPr>
        <w:t>otrovimab] can be associated with increased infection, anaphylaxis and infusion-related reaction risks’.</w:t>
      </w:r>
    </w:p>
    <w:p w14:paraId="0AFD5E54" w14:textId="77777777" w:rsidR="00FA6767" w:rsidRPr="00067E26" w:rsidRDefault="00FA6767" w:rsidP="00FA6767">
      <w:pPr>
        <w:pStyle w:val="BodyText"/>
        <w:numPr>
          <w:ilvl w:val="0"/>
          <w:numId w:val="48"/>
        </w:numPr>
        <w:jc w:val="both"/>
        <w:rPr>
          <w:rFonts w:cs="Arial"/>
          <w:color w:val="auto"/>
        </w:rPr>
      </w:pPr>
      <w:r w:rsidRPr="00067E26">
        <w:rPr>
          <w:color w:val="auto"/>
        </w:rPr>
        <w:t xml:space="preserve">This breaches: </w:t>
      </w:r>
    </w:p>
    <w:p w14:paraId="21A9F73F" w14:textId="390C2F68" w:rsidR="00FA6767" w:rsidRPr="00067E26" w:rsidRDefault="00FA6767" w:rsidP="00FA6767">
      <w:pPr>
        <w:pStyle w:val="BodyText"/>
        <w:numPr>
          <w:ilvl w:val="1"/>
          <w:numId w:val="48"/>
        </w:numPr>
        <w:jc w:val="both"/>
        <w:rPr>
          <w:rFonts w:cs="Arial"/>
          <w:color w:val="auto"/>
        </w:rPr>
      </w:pPr>
      <w:r w:rsidRPr="00067E26">
        <w:rPr>
          <w:color w:val="auto"/>
        </w:rPr>
        <w:t>article 14 of the ECHR (which you say is engaged because articles 2, 3 and 8 are also engaged) by discriminating against patients who are unable to receive nirmatrelvir plus ritonavir</w:t>
      </w:r>
    </w:p>
    <w:p w14:paraId="238370DD" w14:textId="0F39D114" w:rsidR="00FA6767" w:rsidRPr="00067E26" w:rsidRDefault="00FA6767" w:rsidP="00FA6767">
      <w:pPr>
        <w:pStyle w:val="BodyText"/>
        <w:numPr>
          <w:ilvl w:val="1"/>
          <w:numId w:val="48"/>
        </w:numPr>
        <w:jc w:val="both"/>
        <w:rPr>
          <w:rFonts w:cs="Arial"/>
          <w:color w:val="auto"/>
        </w:rPr>
      </w:pPr>
      <w:r w:rsidRPr="00067E26">
        <w:rPr>
          <w:color w:val="auto"/>
        </w:rPr>
        <w:t>the PSED</w:t>
      </w:r>
      <w:r w:rsidR="00BA2582" w:rsidRPr="00067E26">
        <w:rPr>
          <w:color w:val="auto"/>
        </w:rPr>
        <w:t>, on the basis that NICE ‘ought to have robustly assessed the feasibility of other treatment options that reduced inequalities of treatment.</w:t>
      </w:r>
    </w:p>
    <w:p w14:paraId="3816A091" w14:textId="2FC8388C" w:rsidR="00BA2582" w:rsidRPr="00067E26" w:rsidRDefault="00BA2582" w:rsidP="00067E26">
      <w:pPr>
        <w:pStyle w:val="BodyText"/>
        <w:numPr>
          <w:ilvl w:val="1"/>
          <w:numId w:val="48"/>
        </w:numPr>
        <w:jc w:val="both"/>
        <w:rPr>
          <w:rFonts w:cs="Arial"/>
          <w:color w:val="auto"/>
        </w:rPr>
      </w:pPr>
      <w:r w:rsidRPr="00067E26">
        <w:rPr>
          <w:color w:val="auto"/>
        </w:rPr>
        <w:t xml:space="preserve">Section 29 EA 2010 on the basis that NICE should have made the ‘reasonable adjustment’ of “conducting a thorough assessment of </w:t>
      </w:r>
      <w:proofErr w:type="spellStart"/>
      <w:r w:rsidRPr="00067E26">
        <w:rPr>
          <w:color w:val="auto"/>
        </w:rPr>
        <w:t>molnupiravir</w:t>
      </w:r>
      <w:proofErr w:type="spellEnd"/>
      <w:r w:rsidRPr="00067E26">
        <w:rPr>
          <w:color w:val="auto"/>
        </w:rPr>
        <w:t xml:space="preserve"> as an alternative to nirmatrelvir, including a robust assessment of all available evidence.”</w:t>
      </w:r>
    </w:p>
    <w:p w14:paraId="7F9F72D9" w14:textId="5ED2B52F" w:rsidR="00FA6767" w:rsidRPr="00067E26" w:rsidRDefault="00BA2582" w:rsidP="00C53674">
      <w:pPr>
        <w:pStyle w:val="BodyText"/>
        <w:jc w:val="both"/>
        <w:rPr>
          <w:rFonts w:cs="Arial"/>
          <w:color w:val="auto"/>
        </w:rPr>
      </w:pPr>
      <w:r w:rsidRPr="00067E26">
        <w:rPr>
          <w:rFonts w:cs="Arial"/>
          <w:color w:val="auto"/>
        </w:rPr>
        <w:t xml:space="preserve">Please can you explain whether </w:t>
      </w:r>
      <w:r w:rsidR="00861712" w:rsidRPr="00067E26">
        <w:rPr>
          <w:rFonts w:cs="Arial"/>
          <w:color w:val="auto"/>
        </w:rPr>
        <w:t>the success or failure of this ground</w:t>
      </w:r>
      <w:r w:rsidRPr="00067E26">
        <w:rPr>
          <w:rFonts w:cs="Arial"/>
          <w:color w:val="auto"/>
        </w:rPr>
        <w:t xml:space="preserve"> overlap</w:t>
      </w:r>
      <w:r w:rsidR="00861712" w:rsidRPr="00067E26">
        <w:rPr>
          <w:rFonts w:cs="Arial"/>
          <w:color w:val="auto"/>
        </w:rPr>
        <w:t>s</w:t>
      </w:r>
      <w:r w:rsidRPr="00067E26">
        <w:rPr>
          <w:rFonts w:cs="Arial"/>
          <w:color w:val="auto"/>
        </w:rPr>
        <w:t xml:space="preserve"> completely with your </w:t>
      </w:r>
      <w:r w:rsidR="00861712" w:rsidRPr="00067E26">
        <w:rPr>
          <w:rFonts w:cs="Arial"/>
          <w:color w:val="auto"/>
        </w:rPr>
        <w:t xml:space="preserve">grounds </w:t>
      </w:r>
      <w:r w:rsidRPr="00067E26">
        <w:rPr>
          <w:rFonts w:cs="Arial"/>
          <w:color w:val="auto"/>
        </w:rPr>
        <w:t xml:space="preserve">under appeal point 1a?  Put another way, on your analysis is it inevitable this ground will succeed if the Appeal Panel upholds one of your appeal points alleging procedural failings in the way that the Committee approached evidence relating to </w:t>
      </w:r>
      <w:proofErr w:type="spellStart"/>
      <w:r w:rsidRPr="00067E26">
        <w:rPr>
          <w:rFonts w:cs="Arial"/>
          <w:color w:val="auto"/>
        </w:rPr>
        <w:t>molnupiravir</w:t>
      </w:r>
      <w:proofErr w:type="spellEnd"/>
      <w:r w:rsidRPr="00067E26">
        <w:rPr>
          <w:rFonts w:cs="Arial"/>
          <w:color w:val="auto"/>
        </w:rPr>
        <w:t xml:space="preserve">, and is it inevitable that this ground will fail if the Appeal Panel dismisses </w:t>
      </w:r>
      <w:r w:rsidR="00861712" w:rsidRPr="00067E26">
        <w:rPr>
          <w:rFonts w:cs="Arial"/>
          <w:color w:val="auto"/>
        </w:rPr>
        <w:t xml:space="preserve">all of </w:t>
      </w:r>
      <w:r w:rsidRPr="00067E26">
        <w:rPr>
          <w:rFonts w:cs="Arial"/>
          <w:color w:val="auto"/>
        </w:rPr>
        <w:t>those grounds?  It currently seems to me that this is the case.</w:t>
      </w:r>
    </w:p>
    <w:p w14:paraId="5F23ED6A" w14:textId="77777777" w:rsidR="00995AAB" w:rsidRPr="00067E26" w:rsidRDefault="00995AAB" w:rsidP="00995AAB">
      <w:pPr>
        <w:spacing w:before="240" w:after="240" w:line="276" w:lineRule="auto"/>
        <w:jc w:val="both"/>
        <w:rPr>
          <w:rFonts w:cs="Arial"/>
          <w:b/>
          <w:i/>
          <w:color w:val="auto"/>
        </w:rPr>
      </w:pPr>
      <w:r w:rsidRPr="00067E26">
        <w:rPr>
          <w:rFonts w:cs="Arial"/>
          <w:b/>
          <w:i/>
          <w:color w:val="auto"/>
        </w:rPr>
        <w:lastRenderedPageBreak/>
        <w:t>Ground 2: the recommendation is unreasonable in the light of the evidence submitted to NICE</w:t>
      </w:r>
    </w:p>
    <w:p w14:paraId="7A1B35B5" w14:textId="03B0CFF8" w:rsidR="00942EA9" w:rsidRPr="00067E26" w:rsidRDefault="00491045" w:rsidP="00942EA9">
      <w:pPr>
        <w:spacing w:before="240" w:after="240" w:line="276" w:lineRule="auto"/>
        <w:jc w:val="both"/>
        <w:rPr>
          <w:rFonts w:cs="Arial"/>
          <w:b/>
          <w:color w:val="auto"/>
          <w:u w:val="single"/>
        </w:rPr>
      </w:pPr>
      <w:r w:rsidRPr="00067E26">
        <w:rPr>
          <w:rFonts w:cs="Arial"/>
          <w:b/>
          <w:color w:val="auto"/>
          <w:u w:val="single"/>
        </w:rPr>
        <w:t>Appeal point 2</w:t>
      </w:r>
      <w:r w:rsidR="005F7A65" w:rsidRPr="00067E26">
        <w:rPr>
          <w:rFonts w:cs="Arial"/>
          <w:b/>
          <w:color w:val="auto"/>
          <w:u w:val="single"/>
        </w:rPr>
        <w:t>.1</w:t>
      </w:r>
      <w:r w:rsidRPr="00067E26">
        <w:rPr>
          <w:rFonts w:cs="Arial"/>
          <w:b/>
          <w:color w:val="auto"/>
          <w:u w:val="single"/>
        </w:rPr>
        <w:t xml:space="preserve">; </w:t>
      </w:r>
      <w:r w:rsidR="00942EA9" w:rsidRPr="00067E26">
        <w:rPr>
          <w:rFonts w:cs="Arial"/>
          <w:b/>
          <w:color w:val="auto"/>
          <w:u w:val="single"/>
        </w:rPr>
        <w:t xml:space="preserve">By evaluating evidence selectively, inappropriately, and in a methodologically unsound and unfair manner, the Appraisal Committee’s conclusions in respect of </w:t>
      </w:r>
      <w:proofErr w:type="spellStart"/>
      <w:r w:rsidR="00942EA9" w:rsidRPr="00067E26">
        <w:rPr>
          <w:rFonts w:cs="Arial"/>
          <w:b/>
          <w:color w:val="auto"/>
          <w:u w:val="single"/>
        </w:rPr>
        <w:t>molnupiravir</w:t>
      </w:r>
      <w:proofErr w:type="spellEnd"/>
      <w:r w:rsidR="00942EA9" w:rsidRPr="00067E26">
        <w:rPr>
          <w:rFonts w:cs="Arial"/>
          <w:b/>
          <w:color w:val="auto"/>
          <w:u w:val="single"/>
        </w:rPr>
        <w:t xml:space="preserve"> are necessarily unreasonable in light of the available evidence.</w:t>
      </w:r>
    </w:p>
    <w:p w14:paraId="100CEC7C" w14:textId="425C2181" w:rsidR="006E198C" w:rsidRPr="00067E26" w:rsidRDefault="00E816A1" w:rsidP="00C74F91">
      <w:pPr>
        <w:spacing w:before="240" w:after="240" w:line="276" w:lineRule="auto"/>
        <w:jc w:val="both"/>
        <w:rPr>
          <w:rFonts w:cs="Arial"/>
          <w:color w:val="auto"/>
        </w:rPr>
      </w:pPr>
      <w:r w:rsidRPr="00067E26">
        <w:rPr>
          <w:rFonts w:cs="Arial"/>
          <w:color w:val="auto"/>
        </w:rPr>
        <w:t>I am</w:t>
      </w:r>
      <w:r w:rsidR="009F6800" w:rsidRPr="00067E26">
        <w:rPr>
          <w:rFonts w:cs="Arial"/>
          <w:color w:val="auto"/>
        </w:rPr>
        <w:t xml:space="preserve"> not</w:t>
      </w:r>
      <w:r w:rsidRPr="00067E26">
        <w:rPr>
          <w:rFonts w:cs="Arial"/>
          <w:color w:val="auto"/>
        </w:rPr>
        <w:t xml:space="preserve"> minded to refer this appeal point to the Appeal Panel</w:t>
      </w:r>
      <w:r w:rsidR="009F6800" w:rsidRPr="00067E26">
        <w:rPr>
          <w:rFonts w:cs="Arial"/>
          <w:color w:val="auto"/>
        </w:rPr>
        <w:t xml:space="preserve">. That is because I consider </w:t>
      </w:r>
      <w:r w:rsidR="0078095D" w:rsidRPr="00067E26">
        <w:rPr>
          <w:rFonts w:cs="Arial"/>
          <w:color w:val="auto"/>
        </w:rPr>
        <w:t xml:space="preserve">your reasoning that any </w:t>
      </w:r>
      <w:r w:rsidR="00691C6D" w:rsidRPr="00067E26">
        <w:rPr>
          <w:rFonts w:cs="Arial"/>
          <w:color w:val="auto"/>
        </w:rPr>
        <w:t xml:space="preserve">recommendation made following </w:t>
      </w:r>
      <w:r w:rsidR="0078095D" w:rsidRPr="00067E26">
        <w:rPr>
          <w:rFonts w:cs="Arial"/>
          <w:color w:val="auto"/>
        </w:rPr>
        <w:t xml:space="preserve">numerous alleged procedural errors </w:t>
      </w:r>
      <w:r w:rsidR="00691C6D" w:rsidRPr="00067E26">
        <w:rPr>
          <w:rFonts w:cs="Arial"/>
          <w:color w:val="auto"/>
        </w:rPr>
        <w:t xml:space="preserve">must be unreasonable </w:t>
      </w:r>
      <w:r w:rsidR="00691C6D" w:rsidRPr="00067E26">
        <w:rPr>
          <w:rFonts w:cs="Arial"/>
          <w:i/>
          <w:iCs/>
          <w:color w:val="auto"/>
        </w:rPr>
        <w:t>per se</w:t>
      </w:r>
      <w:r w:rsidR="00691C6D" w:rsidRPr="00067E26">
        <w:rPr>
          <w:rFonts w:cs="Arial"/>
          <w:color w:val="auto"/>
        </w:rPr>
        <w:t xml:space="preserve"> is flawed. I do not accept the proposition that procedural errors must result in substantively unreasonable decisions </w:t>
      </w:r>
      <w:r w:rsidR="00D926A3" w:rsidRPr="00067E26">
        <w:rPr>
          <w:rFonts w:cs="Arial"/>
          <w:color w:val="auto"/>
        </w:rPr>
        <w:t xml:space="preserve">so I do not consider you have set out an arguable ground 2 point in your appeal letter. </w:t>
      </w:r>
      <w:r w:rsidR="00691C6D" w:rsidRPr="00067E26">
        <w:rPr>
          <w:rFonts w:cs="Arial"/>
          <w:color w:val="auto"/>
        </w:rPr>
        <w:t xml:space="preserve"> </w:t>
      </w:r>
    </w:p>
    <w:p w14:paraId="224A98CB" w14:textId="43AD9776" w:rsidR="00942EA9" w:rsidRPr="00067E26" w:rsidRDefault="00942EA9" w:rsidP="00942EA9">
      <w:pPr>
        <w:spacing w:before="240" w:after="240" w:line="276" w:lineRule="auto"/>
        <w:jc w:val="both"/>
        <w:rPr>
          <w:rFonts w:cs="Arial"/>
          <w:b/>
          <w:color w:val="auto"/>
          <w:u w:val="single"/>
        </w:rPr>
      </w:pPr>
      <w:r w:rsidRPr="00067E26">
        <w:rPr>
          <w:rFonts w:cs="Arial"/>
          <w:b/>
          <w:color w:val="auto"/>
          <w:u w:val="single"/>
        </w:rPr>
        <w:t>Appeal point 2</w:t>
      </w:r>
      <w:r w:rsidR="005F7A65" w:rsidRPr="00067E26">
        <w:rPr>
          <w:rFonts w:cs="Arial"/>
          <w:b/>
          <w:color w:val="auto"/>
          <w:u w:val="single"/>
        </w:rPr>
        <w:t>.2</w:t>
      </w:r>
      <w:r w:rsidRPr="00067E26">
        <w:rPr>
          <w:rFonts w:cs="Arial"/>
          <w:b/>
          <w:color w:val="auto"/>
          <w:u w:val="single"/>
        </w:rPr>
        <w:t xml:space="preserve">; The Appraisal Committee’s administration cost assumptions for </w:t>
      </w:r>
      <w:proofErr w:type="spellStart"/>
      <w:r w:rsidRPr="00067E26">
        <w:rPr>
          <w:rFonts w:cs="Arial"/>
          <w:b/>
          <w:color w:val="auto"/>
          <w:u w:val="single"/>
        </w:rPr>
        <w:t>molnupiravir</w:t>
      </w:r>
      <w:proofErr w:type="spellEnd"/>
      <w:r w:rsidRPr="00067E26">
        <w:rPr>
          <w:rFonts w:cs="Arial"/>
          <w:b/>
          <w:color w:val="auto"/>
          <w:u w:val="single"/>
        </w:rPr>
        <w:t xml:space="preserve"> and nirmatrelvir plus ritonavir are unreasonable.</w:t>
      </w:r>
    </w:p>
    <w:p w14:paraId="22D46A41" w14:textId="7530BDF1" w:rsidR="00942EA9" w:rsidRPr="00067E26" w:rsidRDefault="00942EA9" w:rsidP="00942EA9">
      <w:pPr>
        <w:spacing w:before="240" w:after="240" w:line="276" w:lineRule="auto"/>
        <w:jc w:val="both"/>
        <w:rPr>
          <w:rFonts w:cs="Arial"/>
          <w:color w:val="auto"/>
        </w:rPr>
      </w:pPr>
      <w:r w:rsidRPr="00067E26">
        <w:rPr>
          <w:rFonts w:cs="Arial"/>
          <w:color w:val="auto"/>
        </w:rPr>
        <w:t xml:space="preserve">I </w:t>
      </w:r>
      <w:r w:rsidR="005D662C" w:rsidRPr="00067E26">
        <w:rPr>
          <w:rFonts w:cs="Arial"/>
          <w:color w:val="auto"/>
        </w:rPr>
        <w:t xml:space="preserve">am not </w:t>
      </w:r>
      <w:r w:rsidRPr="00067E26">
        <w:rPr>
          <w:rFonts w:cs="Arial"/>
          <w:color w:val="auto"/>
        </w:rPr>
        <w:t xml:space="preserve">minded to refer this appeal point to the Appeal Panel.  </w:t>
      </w:r>
    </w:p>
    <w:p w14:paraId="2AEC7FE8" w14:textId="1237A0CE" w:rsidR="003578FE" w:rsidRPr="00067E26" w:rsidRDefault="00CB62B4" w:rsidP="00521F18">
      <w:pPr>
        <w:spacing w:before="240" w:after="240" w:line="276" w:lineRule="auto"/>
        <w:jc w:val="both"/>
        <w:rPr>
          <w:rFonts w:cs="Arial"/>
          <w:color w:val="auto"/>
        </w:rPr>
      </w:pPr>
      <w:r w:rsidRPr="00067E26">
        <w:rPr>
          <w:rFonts w:cs="Arial"/>
          <w:color w:val="auto"/>
        </w:rPr>
        <w:t>As to your point (a) (u</w:t>
      </w:r>
      <w:r w:rsidR="007B209B" w:rsidRPr="00067E26">
        <w:rPr>
          <w:rFonts w:cs="Arial"/>
          <w:color w:val="auto"/>
        </w:rPr>
        <w:t xml:space="preserve">nreasonably high administration cost for </w:t>
      </w:r>
      <w:proofErr w:type="spellStart"/>
      <w:r w:rsidR="007B209B" w:rsidRPr="00067E26">
        <w:rPr>
          <w:rFonts w:cs="Arial"/>
          <w:color w:val="auto"/>
        </w:rPr>
        <w:t>molnupiravir</w:t>
      </w:r>
      <w:proofErr w:type="spellEnd"/>
      <w:r w:rsidRPr="00067E26">
        <w:rPr>
          <w:rFonts w:cs="Arial"/>
          <w:color w:val="auto"/>
        </w:rPr>
        <w:t>), t</w:t>
      </w:r>
      <w:r w:rsidR="008023BD" w:rsidRPr="00067E26">
        <w:rPr>
          <w:rFonts w:cs="Arial"/>
          <w:color w:val="auto"/>
        </w:rPr>
        <w:t xml:space="preserve">he </w:t>
      </w:r>
      <w:r w:rsidR="00135B24" w:rsidRPr="00067E26">
        <w:rPr>
          <w:rFonts w:cs="Arial"/>
          <w:color w:val="auto"/>
        </w:rPr>
        <w:t>FDG</w:t>
      </w:r>
      <w:r w:rsidR="008023BD" w:rsidRPr="00067E26">
        <w:rPr>
          <w:rFonts w:cs="Arial"/>
          <w:color w:val="auto"/>
        </w:rPr>
        <w:t xml:space="preserve"> </w:t>
      </w:r>
      <w:r w:rsidR="00135B24" w:rsidRPr="00067E26">
        <w:rPr>
          <w:rFonts w:cs="Arial"/>
          <w:color w:val="auto"/>
        </w:rPr>
        <w:t xml:space="preserve">para 3.26 </w:t>
      </w:r>
      <w:r w:rsidR="008023BD" w:rsidRPr="00067E26">
        <w:rPr>
          <w:rFonts w:cs="Arial"/>
          <w:color w:val="auto"/>
        </w:rPr>
        <w:t>acknowledges the challenge to the CMDU deployment</w:t>
      </w:r>
      <w:r w:rsidR="00340437" w:rsidRPr="00067E26">
        <w:rPr>
          <w:rFonts w:cs="Arial"/>
          <w:color w:val="auto"/>
        </w:rPr>
        <w:t xml:space="preserve"> costs used in the appraisal</w:t>
      </w:r>
      <w:r w:rsidR="005319E0" w:rsidRPr="00067E26">
        <w:rPr>
          <w:rFonts w:cs="Arial"/>
          <w:color w:val="auto"/>
        </w:rPr>
        <w:t xml:space="preserve"> and sets out </w:t>
      </w:r>
      <w:r w:rsidR="00484B3A" w:rsidRPr="00067E26">
        <w:rPr>
          <w:rFonts w:cs="Arial"/>
          <w:color w:val="auto"/>
        </w:rPr>
        <w:t xml:space="preserve">the </w:t>
      </w:r>
      <w:r w:rsidR="005C630E" w:rsidRPr="00067E26">
        <w:rPr>
          <w:rFonts w:cs="Arial"/>
          <w:color w:val="auto"/>
        </w:rPr>
        <w:t>approach</w:t>
      </w:r>
      <w:r w:rsidR="00484B3A" w:rsidRPr="00067E26">
        <w:rPr>
          <w:rFonts w:cs="Arial"/>
          <w:color w:val="auto"/>
        </w:rPr>
        <w:t xml:space="preserve"> taken by the committee.   </w:t>
      </w:r>
      <w:r w:rsidR="003578FE" w:rsidRPr="00067E26">
        <w:rPr>
          <w:rFonts w:cs="Arial"/>
          <w:color w:val="auto"/>
        </w:rPr>
        <w:t>Whilst the FD</w:t>
      </w:r>
      <w:r w:rsidR="00861712" w:rsidRPr="00067E26">
        <w:rPr>
          <w:rFonts w:cs="Arial"/>
          <w:color w:val="auto"/>
        </w:rPr>
        <w:t>G</w:t>
      </w:r>
      <w:r w:rsidR="003578FE" w:rsidRPr="00067E26">
        <w:rPr>
          <w:rFonts w:cs="Arial"/>
          <w:color w:val="auto"/>
        </w:rPr>
        <w:t xml:space="preserve"> acknowledges that ‘</w:t>
      </w:r>
      <w:r w:rsidR="003578FE" w:rsidRPr="00067E26">
        <w:rPr>
          <w:rFonts w:cs="Arial"/>
          <w:i/>
          <w:iCs/>
          <w:color w:val="auto"/>
        </w:rPr>
        <w:t xml:space="preserve">future delivery may be in primary care, which would likely reduce these costs’ </w:t>
      </w:r>
      <w:r w:rsidR="003578FE" w:rsidRPr="00067E26">
        <w:rPr>
          <w:rFonts w:cs="Arial"/>
          <w:color w:val="auto"/>
        </w:rPr>
        <w:t xml:space="preserve">, such hypothetical scenarios cannot be used as a basis for cost modelling. In my view the committee rightly took into account the current administration costs to the NHS at the time of the appraisal and it is </w:t>
      </w:r>
      <w:r w:rsidR="006E7D36" w:rsidRPr="00067E26">
        <w:rPr>
          <w:rFonts w:cs="Arial"/>
          <w:color w:val="auto"/>
        </w:rPr>
        <w:t xml:space="preserve">not </w:t>
      </w:r>
      <w:r w:rsidR="003578FE" w:rsidRPr="00067E26">
        <w:rPr>
          <w:rFonts w:cs="Arial"/>
          <w:color w:val="auto"/>
        </w:rPr>
        <w:t>arguable that it is unreasonable to use current administration costs to inform cost modelling.</w:t>
      </w:r>
    </w:p>
    <w:p w14:paraId="1053E98B" w14:textId="77777777" w:rsidR="00521F18" w:rsidRDefault="003578FE" w:rsidP="00362B49">
      <w:pPr>
        <w:spacing w:before="240" w:after="240" w:line="276" w:lineRule="auto"/>
        <w:jc w:val="both"/>
        <w:rPr>
          <w:rFonts w:cs="Arial"/>
          <w:color w:val="auto"/>
        </w:rPr>
      </w:pPr>
      <w:r w:rsidRPr="00067E26">
        <w:rPr>
          <w:rFonts w:cs="Arial"/>
          <w:color w:val="auto"/>
        </w:rPr>
        <w:t>Your point (b)</w:t>
      </w:r>
      <w:r w:rsidR="00701880" w:rsidRPr="00067E26">
        <w:rPr>
          <w:rFonts w:cs="Arial"/>
          <w:color w:val="auto"/>
        </w:rPr>
        <w:t xml:space="preserve"> </w:t>
      </w:r>
      <w:r w:rsidRPr="00067E26">
        <w:rPr>
          <w:rFonts w:cs="Arial"/>
          <w:color w:val="auto"/>
        </w:rPr>
        <w:t xml:space="preserve">(unreasonable underestimation of the administration cost of nirmatrelvir plus ritonavir), </w:t>
      </w:r>
      <w:r w:rsidR="006E7D36" w:rsidRPr="00067E26">
        <w:rPr>
          <w:rFonts w:cs="Arial"/>
          <w:color w:val="auto"/>
        </w:rPr>
        <w:t>complains that</w:t>
      </w:r>
      <w:r w:rsidRPr="00067E26">
        <w:rPr>
          <w:rFonts w:cs="Arial"/>
          <w:color w:val="auto"/>
        </w:rPr>
        <w:t xml:space="preserve"> the FDG </w:t>
      </w:r>
      <w:r w:rsidR="00F7103B" w:rsidRPr="00067E26">
        <w:rPr>
          <w:rFonts w:cs="Arial"/>
          <w:color w:val="auto"/>
        </w:rPr>
        <w:t xml:space="preserve">does not take into account the time required to ensure </w:t>
      </w:r>
      <w:r w:rsidRPr="00067E26">
        <w:rPr>
          <w:rFonts w:cs="Arial"/>
          <w:color w:val="auto"/>
        </w:rPr>
        <w:t xml:space="preserve">nirmatrelvir plus ritonavir </w:t>
      </w:r>
      <w:r w:rsidR="00F7103B" w:rsidRPr="00067E26">
        <w:rPr>
          <w:rFonts w:cs="Arial"/>
          <w:color w:val="auto"/>
        </w:rPr>
        <w:t xml:space="preserve">is not prescribed to patients who are contraindicated or where there may be DDIs. </w:t>
      </w:r>
      <w:r w:rsidR="00D00DDF" w:rsidRPr="00067E26">
        <w:rPr>
          <w:rFonts w:cs="Arial"/>
          <w:color w:val="auto"/>
        </w:rPr>
        <w:t xml:space="preserve">I see no </w:t>
      </w:r>
      <w:r w:rsidR="00FA2255" w:rsidRPr="00067E26">
        <w:rPr>
          <w:rFonts w:cs="Arial"/>
          <w:color w:val="auto"/>
        </w:rPr>
        <w:t>arguable unreasonableness here</w:t>
      </w:r>
      <w:r w:rsidR="00D00DDF" w:rsidRPr="00067E26">
        <w:rPr>
          <w:rFonts w:cs="Arial"/>
          <w:color w:val="auto"/>
        </w:rPr>
        <w:t xml:space="preserve">; </w:t>
      </w:r>
      <w:r w:rsidR="00842DE6" w:rsidRPr="00067E26">
        <w:rPr>
          <w:rFonts w:cs="Arial"/>
          <w:color w:val="auto"/>
        </w:rPr>
        <w:t>nothing in y</w:t>
      </w:r>
      <w:r w:rsidR="00D00DDF" w:rsidRPr="00067E26">
        <w:rPr>
          <w:rFonts w:cs="Arial"/>
          <w:color w:val="auto"/>
        </w:rPr>
        <w:t xml:space="preserve">our appeal letter </w:t>
      </w:r>
      <w:r w:rsidR="000D70F5" w:rsidRPr="00067E26">
        <w:rPr>
          <w:rFonts w:cs="Arial"/>
          <w:color w:val="auto"/>
        </w:rPr>
        <w:t>explains why the Committee’s approach to the administration cost was beyond the bounds of what was reasonable on the evidence</w:t>
      </w:r>
      <w:r w:rsidR="00362B49" w:rsidRPr="00067E26">
        <w:rPr>
          <w:rFonts w:cs="Arial"/>
          <w:color w:val="auto"/>
        </w:rPr>
        <w:t xml:space="preserve">.   </w:t>
      </w:r>
    </w:p>
    <w:p w14:paraId="1E52F5EB" w14:textId="77777777" w:rsidR="00A32633" w:rsidRDefault="008E1730" w:rsidP="00521F18">
      <w:pPr>
        <w:spacing w:before="240" w:after="240" w:line="276" w:lineRule="auto"/>
        <w:jc w:val="both"/>
        <w:rPr>
          <w:rFonts w:cs="Arial"/>
          <w:color w:val="auto"/>
        </w:rPr>
      </w:pPr>
      <w:r w:rsidRPr="00067E26">
        <w:rPr>
          <w:rFonts w:cs="Arial"/>
          <w:color w:val="auto"/>
        </w:rPr>
        <w:t>Furthermore</w:t>
      </w:r>
      <w:r w:rsidR="0005569B" w:rsidRPr="00067E26">
        <w:rPr>
          <w:rFonts w:cs="Arial"/>
          <w:color w:val="auto"/>
        </w:rPr>
        <w:t>,</w:t>
      </w:r>
      <w:r w:rsidR="000D70F5" w:rsidRPr="00067E26">
        <w:rPr>
          <w:rFonts w:cs="Arial"/>
          <w:color w:val="auto"/>
        </w:rPr>
        <w:t xml:space="preserve"> I do not consider that the Committee’s chosen approach on</w:t>
      </w:r>
      <w:r w:rsidR="0005569B" w:rsidRPr="00067E26">
        <w:rPr>
          <w:rFonts w:cs="Arial"/>
          <w:color w:val="auto"/>
        </w:rPr>
        <w:t xml:space="preserve"> </w:t>
      </w:r>
      <w:r w:rsidR="00986406" w:rsidRPr="00067E26">
        <w:rPr>
          <w:rFonts w:cs="Arial"/>
          <w:color w:val="auto"/>
        </w:rPr>
        <w:t>th</w:t>
      </w:r>
      <w:r w:rsidR="00521F18">
        <w:rPr>
          <w:rFonts w:cs="Arial"/>
          <w:color w:val="auto"/>
        </w:rPr>
        <w:t>e</w:t>
      </w:r>
      <w:r w:rsidR="00986406" w:rsidRPr="00067E26">
        <w:rPr>
          <w:rFonts w:cs="Arial"/>
          <w:color w:val="auto"/>
        </w:rPr>
        <w:t>s</w:t>
      </w:r>
      <w:r w:rsidR="00521F18">
        <w:rPr>
          <w:rFonts w:cs="Arial"/>
          <w:color w:val="auto"/>
        </w:rPr>
        <w:t>e</w:t>
      </w:r>
      <w:r w:rsidR="00986406" w:rsidRPr="00067E26">
        <w:rPr>
          <w:rFonts w:cs="Arial"/>
          <w:color w:val="auto"/>
        </w:rPr>
        <w:t xml:space="preserve"> </w:t>
      </w:r>
      <w:r w:rsidR="009E099C" w:rsidRPr="00067E26">
        <w:rPr>
          <w:rFonts w:cs="Arial"/>
          <w:color w:val="auto"/>
        </w:rPr>
        <w:t>point</w:t>
      </w:r>
      <w:r w:rsidR="00521F18">
        <w:rPr>
          <w:rFonts w:cs="Arial"/>
          <w:color w:val="auto"/>
        </w:rPr>
        <w:t>s</w:t>
      </w:r>
      <w:r w:rsidR="009E099C" w:rsidRPr="00067E26">
        <w:rPr>
          <w:rFonts w:cs="Arial"/>
          <w:color w:val="auto"/>
        </w:rPr>
        <w:t xml:space="preserve"> </w:t>
      </w:r>
      <w:r w:rsidR="006E7D36" w:rsidRPr="00067E26">
        <w:rPr>
          <w:rFonts w:cs="Arial"/>
          <w:color w:val="auto"/>
        </w:rPr>
        <w:t>c</w:t>
      </w:r>
      <w:r w:rsidR="00CE3C30" w:rsidRPr="00067E26">
        <w:rPr>
          <w:rFonts w:cs="Arial"/>
          <w:color w:val="auto"/>
        </w:rPr>
        <w:t xml:space="preserve">ould </w:t>
      </w:r>
      <w:r w:rsidR="000D70F5" w:rsidRPr="00067E26">
        <w:rPr>
          <w:rFonts w:cs="Arial"/>
          <w:color w:val="auto"/>
        </w:rPr>
        <w:t xml:space="preserve">have </w:t>
      </w:r>
      <w:r w:rsidR="00CE3C30" w:rsidRPr="00067E26">
        <w:rPr>
          <w:rFonts w:cs="Arial"/>
          <w:color w:val="auto"/>
        </w:rPr>
        <w:t>influence</w:t>
      </w:r>
      <w:r w:rsidR="000D70F5" w:rsidRPr="00067E26">
        <w:rPr>
          <w:rFonts w:cs="Arial"/>
          <w:color w:val="auto"/>
        </w:rPr>
        <w:t>d</w:t>
      </w:r>
      <w:r w:rsidR="00CE3C30" w:rsidRPr="00067E26">
        <w:rPr>
          <w:rFonts w:cs="Arial"/>
          <w:color w:val="auto"/>
        </w:rPr>
        <w:t xml:space="preserve"> the outcome of the appraisa</w:t>
      </w:r>
      <w:r w:rsidR="00521F18">
        <w:rPr>
          <w:rFonts w:cs="Arial"/>
          <w:color w:val="auto"/>
        </w:rPr>
        <w:t>l, given  the Committee considered</w:t>
      </w:r>
      <w:r w:rsidR="00521F18" w:rsidRPr="00067E26">
        <w:rPr>
          <w:rFonts w:cs="Arial"/>
          <w:color w:val="auto"/>
        </w:rPr>
        <w:t xml:space="preserve"> </w:t>
      </w:r>
      <w:proofErr w:type="spellStart"/>
      <w:r w:rsidR="00521F18" w:rsidRPr="00067E26">
        <w:rPr>
          <w:rFonts w:cs="Arial"/>
          <w:color w:val="auto"/>
        </w:rPr>
        <w:t>molnupiravir</w:t>
      </w:r>
      <w:proofErr w:type="spellEnd"/>
      <w:r w:rsidR="00521F18" w:rsidRPr="00521F18">
        <w:t xml:space="preserve"> </w:t>
      </w:r>
      <w:r w:rsidR="00521F18">
        <w:rPr>
          <w:rFonts w:cs="Arial"/>
          <w:color w:val="auto"/>
        </w:rPr>
        <w:t>“</w:t>
      </w:r>
      <w:r w:rsidR="00521F18" w:rsidRPr="00521F18">
        <w:rPr>
          <w:rFonts w:cs="Arial"/>
          <w:color w:val="auto"/>
        </w:rPr>
        <w:t>has limited effectiveness at treating mild COVID-19 compared with</w:t>
      </w:r>
      <w:r w:rsidR="00521F18">
        <w:rPr>
          <w:rFonts w:cs="Arial"/>
          <w:color w:val="auto"/>
        </w:rPr>
        <w:t xml:space="preserve"> </w:t>
      </w:r>
      <w:r w:rsidR="00521F18" w:rsidRPr="00521F18">
        <w:rPr>
          <w:rFonts w:cs="Arial"/>
          <w:color w:val="auto"/>
        </w:rPr>
        <w:t>standard care</w:t>
      </w:r>
      <w:r w:rsidR="00521F18">
        <w:rPr>
          <w:rFonts w:cs="Arial"/>
          <w:color w:val="auto"/>
        </w:rPr>
        <w:t xml:space="preserve">” and </w:t>
      </w:r>
      <w:proofErr w:type="spellStart"/>
      <w:r w:rsidR="00521F18" w:rsidRPr="00067E26">
        <w:rPr>
          <w:rFonts w:cs="Arial"/>
          <w:color w:val="auto"/>
        </w:rPr>
        <w:t>molnupiravir</w:t>
      </w:r>
      <w:proofErr w:type="spellEnd"/>
      <w:r w:rsidR="00521F18">
        <w:rPr>
          <w:rFonts w:cs="Arial"/>
          <w:color w:val="auto"/>
        </w:rPr>
        <w:t xml:space="preserve"> </w:t>
      </w:r>
      <w:r w:rsidR="00521F18" w:rsidRPr="00067E26">
        <w:rPr>
          <w:rFonts w:cs="Arial"/>
          <w:color w:val="auto"/>
        </w:rPr>
        <w:t>was “</w:t>
      </w:r>
      <w:r w:rsidR="00521F18" w:rsidRPr="00521F18">
        <w:rPr>
          <w:rFonts w:cs="Arial"/>
          <w:i/>
          <w:iCs/>
          <w:color w:val="auto"/>
        </w:rPr>
        <w:t>not recommended because [it is] unlikely to be effective at treating COVID-19</w:t>
      </w:r>
      <w:r w:rsidR="00521F18" w:rsidRPr="00521F18">
        <w:t xml:space="preserve"> </w:t>
      </w:r>
      <w:r w:rsidR="00521F18" w:rsidRPr="00521F18">
        <w:rPr>
          <w:rFonts w:cs="Arial"/>
          <w:i/>
          <w:iCs/>
          <w:color w:val="auto"/>
        </w:rPr>
        <w:t>and it</w:t>
      </w:r>
      <w:r w:rsidR="00521F18">
        <w:rPr>
          <w:rFonts w:cs="Arial"/>
          <w:i/>
          <w:iCs/>
          <w:color w:val="auto"/>
        </w:rPr>
        <w:t xml:space="preserve"> </w:t>
      </w:r>
      <w:r w:rsidR="00521F18" w:rsidRPr="00521F18">
        <w:rPr>
          <w:rFonts w:cs="Arial"/>
          <w:i/>
          <w:iCs/>
          <w:color w:val="auto"/>
        </w:rPr>
        <w:t xml:space="preserve">is not possible to reliably estimate </w:t>
      </w:r>
      <w:r w:rsidR="00521F18">
        <w:rPr>
          <w:rFonts w:cs="Arial"/>
          <w:i/>
          <w:iCs/>
          <w:color w:val="auto"/>
        </w:rPr>
        <w:t>[its]</w:t>
      </w:r>
      <w:r w:rsidR="00521F18" w:rsidRPr="00521F18">
        <w:rPr>
          <w:rFonts w:cs="Arial"/>
          <w:i/>
          <w:iCs/>
          <w:color w:val="auto"/>
        </w:rPr>
        <w:t xml:space="preserve"> cost effectiveness</w:t>
      </w:r>
      <w:r w:rsidR="00521F18" w:rsidRPr="00067E26">
        <w:rPr>
          <w:rFonts w:cs="Arial"/>
          <w:color w:val="auto"/>
        </w:rPr>
        <w:t xml:space="preserve">” </w:t>
      </w:r>
      <w:r w:rsidR="00521F18">
        <w:rPr>
          <w:rFonts w:cs="Arial"/>
          <w:color w:val="auto"/>
        </w:rPr>
        <w:t>(</w:t>
      </w:r>
      <w:r w:rsidR="00521F18" w:rsidRPr="00067E26">
        <w:rPr>
          <w:rFonts w:cs="Arial"/>
          <w:color w:val="auto"/>
        </w:rPr>
        <w:t>page</w:t>
      </w:r>
      <w:r w:rsidR="00521F18">
        <w:rPr>
          <w:rFonts w:cs="Arial"/>
          <w:color w:val="auto"/>
        </w:rPr>
        <w:t>s</w:t>
      </w:r>
      <w:r w:rsidR="00521F18" w:rsidRPr="00067E26">
        <w:rPr>
          <w:rFonts w:cs="Arial"/>
          <w:color w:val="auto"/>
        </w:rPr>
        <w:t xml:space="preserve"> 3</w:t>
      </w:r>
      <w:r w:rsidR="00521F18">
        <w:rPr>
          <w:rFonts w:cs="Arial"/>
          <w:color w:val="auto"/>
        </w:rPr>
        <w:t>-4</w:t>
      </w:r>
      <w:r w:rsidR="00521F18" w:rsidRPr="00067E26">
        <w:rPr>
          <w:rFonts w:cs="Arial"/>
          <w:color w:val="auto"/>
        </w:rPr>
        <w:t xml:space="preserve"> of the FDG</w:t>
      </w:r>
      <w:r w:rsidR="00521F18">
        <w:rPr>
          <w:rFonts w:cs="Arial"/>
          <w:color w:val="auto"/>
        </w:rPr>
        <w:t>).</w:t>
      </w:r>
    </w:p>
    <w:p w14:paraId="4AE6A487" w14:textId="5EBB1833" w:rsidR="007E4EDC" w:rsidRPr="00067E26" w:rsidRDefault="007E4EDC" w:rsidP="00521F18">
      <w:pPr>
        <w:spacing w:before="240" w:after="240" w:line="276" w:lineRule="auto"/>
        <w:jc w:val="both"/>
        <w:rPr>
          <w:rFonts w:cs="Arial"/>
          <w:u w:val="single"/>
        </w:rPr>
      </w:pPr>
      <w:r w:rsidRPr="00067E26">
        <w:rPr>
          <w:rFonts w:cs="Arial"/>
          <w:u w:val="single"/>
        </w:rPr>
        <w:t xml:space="preserve">Conclusion </w:t>
      </w:r>
    </w:p>
    <w:p w14:paraId="0D42AE48" w14:textId="77777777" w:rsidR="00C2049A" w:rsidRPr="00067E26" w:rsidRDefault="00AA2694" w:rsidP="00413F89">
      <w:pPr>
        <w:pStyle w:val="Paragraph"/>
        <w:numPr>
          <w:ilvl w:val="0"/>
          <w:numId w:val="0"/>
        </w:numPr>
        <w:spacing w:before="120"/>
        <w:jc w:val="both"/>
        <w:rPr>
          <w:rFonts w:cs="Arial"/>
          <w:sz w:val="20"/>
          <w:szCs w:val="20"/>
          <w:lang w:eastAsia="en-US"/>
        </w:rPr>
      </w:pPr>
      <w:r w:rsidRPr="00067E26">
        <w:rPr>
          <w:rFonts w:cs="Arial"/>
          <w:sz w:val="20"/>
          <w:szCs w:val="20"/>
          <w:lang w:eastAsia="en-US"/>
        </w:rPr>
        <w:t>The above sets</w:t>
      </w:r>
      <w:r w:rsidR="00C2049A" w:rsidRPr="00067E26">
        <w:rPr>
          <w:rFonts w:cs="Arial"/>
          <w:sz w:val="20"/>
          <w:szCs w:val="20"/>
          <w:lang w:eastAsia="en-US"/>
        </w:rPr>
        <w:t xml:space="preserve"> out above my initial views on all of your appeal points.</w:t>
      </w:r>
    </w:p>
    <w:p w14:paraId="5224AE76" w14:textId="4671FD50" w:rsidR="003B056B" w:rsidRPr="00067E26" w:rsidRDefault="003B056B" w:rsidP="00413F89">
      <w:pPr>
        <w:pStyle w:val="Paragraph"/>
        <w:numPr>
          <w:ilvl w:val="0"/>
          <w:numId w:val="0"/>
        </w:numPr>
        <w:spacing w:before="120"/>
        <w:jc w:val="both"/>
        <w:rPr>
          <w:rFonts w:cs="Arial"/>
          <w:sz w:val="20"/>
          <w:szCs w:val="20"/>
          <w:lang w:eastAsia="en-US"/>
        </w:rPr>
      </w:pPr>
      <w:r w:rsidRPr="00067E26">
        <w:rPr>
          <w:rFonts w:cs="Arial"/>
          <w:sz w:val="20"/>
          <w:szCs w:val="20"/>
          <w:lang w:eastAsia="en-US"/>
        </w:rPr>
        <w:t>In respect of your points which I am not minded to refer on you are entitled to submit further clarification and/or evidence to me within the next 10 working days, and I will then give a final decision on the points t</w:t>
      </w:r>
      <w:r w:rsidR="00726F5A" w:rsidRPr="00067E26">
        <w:rPr>
          <w:rFonts w:cs="Arial"/>
          <w:sz w:val="20"/>
          <w:szCs w:val="20"/>
          <w:lang w:eastAsia="en-US"/>
        </w:rPr>
        <w:t xml:space="preserve">o put </w:t>
      </w:r>
      <w:r w:rsidR="00726F5A" w:rsidRPr="00112B6E">
        <w:rPr>
          <w:rFonts w:cs="Arial"/>
          <w:sz w:val="20"/>
          <w:szCs w:val="20"/>
          <w:lang w:eastAsia="en-US"/>
        </w:rPr>
        <w:t xml:space="preserve">before an appeal panel.  </w:t>
      </w:r>
      <w:r w:rsidRPr="00112B6E">
        <w:rPr>
          <w:rFonts w:cs="Arial"/>
          <w:sz w:val="20"/>
          <w:szCs w:val="20"/>
          <w:lang w:eastAsia="en-US"/>
        </w:rPr>
        <w:t>For the points I am already content to refer on, an oral appeal will be held which is likely to be held remotely</w:t>
      </w:r>
      <w:r w:rsidR="00096EBF" w:rsidRPr="00112B6E">
        <w:rPr>
          <w:rFonts w:cs="Arial"/>
          <w:sz w:val="20"/>
          <w:szCs w:val="20"/>
          <w:lang w:eastAsia="en-US"/>
        </w:rPr>
        <w:t>.</w:t>
      </w:r>
    </w:p>
    <w:p w14:paraId="6445C872" w14:textId="4FC725F9" w:rsidR="003B056B" w:rsidRPr="00067E26" w:rsidRDefault="003B056B" w:rsidP="00413F89">
      <w:pPr>
        <w:pStyle w:val="Paragraph"/>
        <w:numPr>
          <w:ilvl w:val="0"/>
          <w:numId w:val="0"/>
        </w:numPr>
        <w:spacing w:before="120"/>
        <w:jc w:val="both"/>
        <w:rPr>
          <w:rFonts w:cs="Arial"/>
          <w:sz w:val="20"/>
          <w:szCs w:val="20"/>
        </w:rPr>
      </w:pPr>
      <w:r w:rsidRPr="00067E26">
        <w:rPr>
          <w:rFonts w:cs="Arial"/>
          <w:sz w:val="20"/>
          <w:szCs w:val="20"/>
          <w:lang w:eastAsia="en-US"/>
        </w:rPr>
        <w:t>Once I have made my final decision, and where there is more than one appellant, each appellant will receive the valid appeal points of the other appellants and their redacted appeal letter. This is to enable appellants to avoid duplication at the hearing where there are overlapping appeal points. If the appeal letter and/or responses to scrutiny contain confidential information</w:t>
      </w:r>
      <w:r w:rsidRPr="00067E26">
        <w:rPr>
          <w:rFonts w:cs="Arial"/>
          <w:sz w:val="20"/>
          <w:szCs w:val="20"/>
        </w:rPr>
        <w:t xml:space="preserve"> please ensure you have provided a version with this information redacted by </w:t>
      </w:r>
      <w:r w:rsidR="00112B6E">
        <w:rPr>
          <w:rFonts w:cs="Arial"/>
          <w:sz w:val="20"/>
          <w:szCs w:val="20"/>
        </w:rPr>
        <w:t>28 March 2023.</w:t>
      </w:r>
    </w:p>
    <w:p w14:paraId="0ED764D7" w14:textId="53303CDF" w:rsidR="00010318" w:rsidRPr="00067E26" w:rsidRDefault="00010318" w:rsidP="00413F89">
      <w:pPr>
        <w:pStyle w:val="Paragraph"/>
        <w:numPr>
          <w:ilvl w:val="0"/>
          <w:numId w:val="0"/>
        </w:numPr>
        <w:spacing w:before="120"/>
        <w:jc w:val="both"/>
        <w:rPr>
          <w:rFonts w:cs="Arial"/>
          <w:sz w:val="20"/>
          <w:szCs w:val="20"/>
        </w:rPr>
      </w:pPr>
      <w:r w:rsidRPr="00067E26">
        <w:rPr>
          <w:rFonts w:cs="Arial"/>
          <w:sz w:val="20"/>
          <w:szCs w:val="20"/>
        </w:rPr>
        <w:lastRenderedPageBreak/>
        <w:t xml:space="preserve">Ordinarily appeals are conducted on the basis of the appellants’ written appeal letters, and the material generated during the appraisal process.  Use of additional written material is discouraged, and the panel cannot receive any new evidence.  If, exceptionally, you feel there is written material that will not be before the panel that you would wish to rely on you must let the NICE Appeal team know by return of letter, indicating what the material is, why it is desirable to submit it, and when it will be available, by no later than </w:t>
      </w:r>
      <w:r w:rsidR="00953CD9">
        <w:rPr>
          <w:rFonts w:cs="Arial"/>
          <w:sz w:val="20"/>
          <w:szCs w:val="20"/>
        </w:rPr>
        <w:t>29 March 2023</w:t>
      </w:r>
      <w:r w:rsidRPr="00067E26">
        <w:rPr>
          <w:rFonts w:cs="Arial"/>
          <w:sz w:val="20"/>
          <w:szCs w:val="20"/>
        </w:rPr>
        <w:t>.  Please note that the appeal panel cannot accept papers that are tabled late or ad hoc, as this affects the preparation of the panel and other parties for the appeal.</w:t>
      </w:r>
    </w:p>
    <w:p w14:paraId="6427A69D" w14:textId="21C02660" w:rsidR="00C70019" w:rsidRPr="00067E26" w:rsidRDefault="00C70019" w:rsidP="00413F89">
      <w:pPr>
        <w:jc w:val="both"/>
        <w:rPr>
          <w:rFonts w:cs="Arial"/>
          <w:color w:val="auto"/>
        </w:rPr>
      </w:pPr>
      <w:r w:rsidRPr="00067E26">
        <w:rPr>
          <w:rFonts w:cs="Arial"/>
          <w:color w:val="auto"/>
        </w:rPr>
        <w:t>Yours sincerely</w:t>
      </w:r>
    </w:p>
    <w:p w14:paraId="7B1DBEA2" w14:textId="589D8CF4" w:rsidR="00112B6E" w:rsidRDefault="00112B6E" w:rsidP="00112B6E">
      <w:pPr>
        <w:pStyle w:val="NICEnormal"/>
        <w:spacing w:after="0" w:line="240" w:lineRule="auto"/>
      </w:pPr>
    </w:p>
    <w:p w14:paraId="3F2734DA" w14:textId="77777777" w:rsidR="00112B6E" w:rsidRDefault="00112B6E" w:rsidP="00112B6E">
      <w:pPr>
        <w:pStyle w:val="NICEnormal"/>
        <w:spacing w:after="0" w:line="240" w:lineRule="auto"/>
      </w:pPr>
    </w:p>
    <w:p w14:paraId="5E236D87" w14:textId="77777777" w:rsidR="00112B6E" w:rsidRPr="00112B6E" w:rsidRDefault="00112B6E" w:rsidP="00112B6E">
      <w:pPr>
        <w:spacing w:after="0" w:line="240" w:lineRule="auto"/>
        <w:rPr>
          <w:rFonts w:cs="Arial"/>
          <w:color w:val="auto"/>
        </w:rPr>
      </w:pPr>
      <w:r w:rsidRPr="00112B6E">
        <w:rPr>
          <w:rFonts w:cs="Arial"/>
          <w:color w:val="auto"/>
        </w:rPr>
        <w:t>Mark Chakravarty</w:t>
      </w:r>
    </w:p>
    <w:p w14:paraId="102DC82F" w14:textId="77777777" w:rsidR="00112B6E" w:rsidRPr="00112B6E" w:rsidRDefault="00112B6E" w:rsidP="00112B6E">
      <w:pPr>
        <w:spacing w:after="0" w:line="240" w:lineRule="auto"/>
        <w:rPr>
          <w:rFonts w:cs="Arial"/>
          <w:color w:val="auto"/>
        </w:rPr>
      </w:pPr>
      <w:r w:rsidRPr="00112B6E">
        <w:rPr>
          <w:rFonts w:cs="Arial"/>
          <w:color w:val="auto"/>
        </w:rPr>
        <w:t>Non-Executive Director</w:t>
      </w:r>
    </w:p>
    <w:p w14:paraId="47657B61" w14:textId="77777777" w:rsidR="00112B6E" w:rsidRPr="00112B6E" w:rsidRDefault="00112B6E" w:rsidP="00112B6E">
      <w:pPr>
        <w:spacing w:after="0" w:line="240" w:lineRule="auto"/>
        <w:rPr>
          <w:rFonts w:cs="Arial"/>
          <w:color w:val="auto"/>
        </w:rPr>
      </w:pPr>
      <w:r w:rsidRPr="00112B6E">
        <w:rPr>
          <w:rFonts w:cs="Arial"/>
          <w:color w:val="auto"/>
        </w:rPr>
        <w:t>National Institute for Health and Care Excellence</w:t>
      </w:r>
    </w:p>
    <w:p w14:paraId="0C61E456" w14:textId="77777777" w:rsidR="002B21D4" w:rsidRPr="00067E26" w:rsidRDefault="002B21D4" w:rsidP="00413F89">
      <w:pPr>
        <w:jc w:val="both"/>
        <w:rPr>
          <w:rFonts w:cs="Arial"/>
          <w:color w:val="auto"/>
        </w:rPr>
      </w:pPr>
    </w:p>
    <w:sectPr w:rsidR="002B21D4" w:rsidRPr="00067E26" w:rsidSect="00DC03BB">
      <w:footerReference w:type="default" r:id="rId9"/>
      <w:headerReference w:type="first" r:id="rId10"/>
      <w:footerReference w:type="first" r:id="rId11"/>
      <w:pgSz w:w="11907" w:h="16840" w:code="9"/>
      <w:pgMar w:top="1848" w:right="1418" w:bottom="1418" w:left="1418" w:header="11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A18C4" w14:textId="77777777" w:rsidR="00CC452E" w:rsidRDefault="00CC452E">
      <w:r>
        <w:separator/>
      </w:r>
    </w:p>
  </w:endnote>
  <w:endnote w:type="continuationSeparator" w:id="0">
    <w:p w14:paraId="5248CE0A" w14:textId="77777777" w:rsidR="00CC452E" w:rsidRDefault="00CC4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FA69C" w14:textId="3A8305C2" w:rsidR="00E308B8" w:rsidRPr="00E10C0E" w:rsidRDefault="00E308B8" w:rsidP="00832D34">
    <w:pPr>
      <w:pStyle w:val="Footer"/>
      <w:tabs>
        <w:tab w:val="clear" w:pos="4153"/>
        <w:tab w:val="clear" w:pos="8306"/>
        <w:tab w:val="center" w:pos="4536"/>
        <w:tab w:val="right" w:pos="9072"/>
      </w:tabs>
      <w:spacing w:line="240" w:lineRule="auto"/>
      <w:rPr>
        <w:color w:val="808080"/>
        <w:sz w:val="18"/>
        <w:szCs w:val="18"/>
      </w:rPr>
    </w:pPr>
    <w:r>
      <w:rPr>
        <w:rStyle w:val="PageNumber"/>
        <w:color w:val="808080"/>
        <w:szCs w:val="18"/>
      </w:rPr>
      <w:tab/>
    </w:r>
    <w:r>
      <w:rPr>
        <w:rStyle w:val="PageNumber"/>
        <w:color w:val="808080"/>
        <w:szCs w:val="18"/>
      </w:rPr>
      <w:tab/>
    </w:r>
    <w:r w:rsidRPr="00E10C0E">
      <w:rPr>
        <w:rStyle w:val="PageNumber"/>
        <w:color w:val="808080"/>
        <w:szCs w:val="18"/>
      </w:rPr>
      <w:t xml:space="preserve">Page </w:t>
    </w:r>
    <w:r w:rsidRPr="00E10C0E">
      <w:rPr>
        <w:rStyle w:val="PageNumber"/>
        <w:bCs/>
        <w:color w:val="808080"/>
        <w:szCs w:val="18"/>
      </w:rPr>
      <w:fldChar w:fldCharType="begin"/>
    </w:r>
    <w:r w:rsidRPr="00E10C0E">
      <w:rPr>
        <w:rStyle w:val="PageNumber"/>
        <w:bCs/>
        <w:color w:val="808080"/>
        <w:szCs w:val="18"/>
      </w:rPr>
      <w:instrText xml:space="preserve"> PAGE </w:instrText>
    </w:r>
    <w:r w:rsidRPr="00E10C0E">
      <w:rPr>
        <w:rStyle w:val="PageNumber"/>
        <w:bCs/>
        <w:color w:val="808080"/>
        <w:szCs w:val="18"/>
      </w:rPr>
      <w:fldChar w:fldCharType="separate"/>
    </w:r>
    <w:r w:rsidR="00811421">
      <w:rPr>
        <w:rStyle w:val="PageNumber"/>
        <w:bCs/>
        <w:noProof/>
        <w:color w:val="808080"/>
        <w:szCs w:val="18"/>
      </w:rPr>
      <w:t>2</w:t>
    </w:r>
    <w:r w:rsidRPr="00E10C0E">
      <w:rPr>
        <w:rStyle w:val="PageNumber"/>
        <w:bCs/>
        <w:color w:val="808080"/>
        <w:szCs w:val="18"/>
      </w:rPr>
      <w:fldChar w:fldCharType="end"/>
    </w:r>
    <w:r w:rsidRPr="00E10C0E">
      <w:rPr>
        <w:rStyle w:val="PageNumber"/>
        <w:color w:val="808080"/>
        <w:szCs w:val="18"/>
      </w:rPr>
      <w:t xml:space="preserve"> of </w:t>
    </w:r>
    <w:r w:rsidRPr="00E10C0E">
      <w:rPr>
        <w:rStyle w:val="PageNumber"/>
        <w:b/>
        <w:color w:val="808080"/>
        <w:szCs w:val="18"/>
      </w:rPr>
      <w:fldChar w:fldCharType="begin"/>
    </w:r>
    <w:r w:rsidRPr="00E10C0E">
      <w:rPr>
        <w:rStyle w:val="PageNumber"/>
        <w:b/>
        <w:color w:val="808080"/>
        <w:szCs w:val="18"/>
      </w:rPr>
      <w:instrText xml:space="preserve"> NUMPAGES  \* MERGEFORMAT </w:instrText>
    </w:r>
    <w:r w:rsidRPr="00E10C0E">
      <w:rPr>
        <w:rStyle w:val="PageNumber"/>
        <w:b/>
        <w:color w:val="808080"/>
        <w:szCs w:val="18"/>
      </w:rPr>
      <w:fldChar w:fldCharType="separate"/>
    </w:r>
    <w:r w:rsidR="00811421" w:rsidRPr="00811421">
      <w:rPr>
        <w:rStyle w:val="PageNumber"/>
        <w:noProof/>
        <w:color w:val="808080"/>
        <w:szCs w:val="18"/>
      </w:rPr>
      <w:t>2</w:t>
    </w:r>
    <w:r w:rsidRPr="00E10C0E">
      <w:rPr>
        <w:rStyle w:val="PageNumber"/>
        <w:b/>
        <w:color w:val="80808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013B" w14:textId="522BD442" w:rsidR="00E308B8" w:rsidRPr="00832D34" w:rsidRDefault="00811421" w:rsidP="00EF043B">
    <w:pPr>
      <w:pStyle w:val="Footer"/>
      <w:tabs>
        <w:tab w:val="clear" w:pos="4153"/>
        <w:tab w:val="clear" w:pos="8306"/>
        <w:tab w:val="left" w:pos="0"/>
        <w:tab w:val="center" w:pos="4536"/>
        <w:tab w:val="right" w:pos="9072"/>
      </w:tabs>
      <w:spacing w:line="240" w:lineRule="auto"/>
      <w:jc w:val="right"/>
      <w:rPr>
        <w:color w:val="808080"/>
        <w:sz w:val="18"/>
        <w:szCs w:val="18"/>
      </w:rPr>
    </w:pPr>
    <w:r>
      <w:rPr>
        <w:noProof/>
        <w:lang w:eastAsia="en-GB"/>
      </w:rPr>
      <w:drawing>
        <wp:anchor distT="0" distB="0" distL="114300" distR="114300" simplePos="0" relativeHeight="251661312" behindDoc="0" locked="0" layoutInCell="1" allowOverlap="1" wp14:anchorId="762011F8" wp14:editId="211A3AF0">
          <wp:simplePos x="0" y="0"/>
          <wp:positionH relativeFrom="margin">
            <wp:align>center</wp:align>
          </wp:positionH>
          <wp:positionV relativeFrom="margin">
            <wp:posOffset>7708265</wp:posOffset>
          </wp:positionV>
          <wp:extent cx="7000002" cy="509268"/>
          <wp:effectExtent l="0" t="0" r="0" b="5715"/>
          <wp:wrapNone/>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r w:rsidR="00E308B8" w:rsidRPr="00832D34">
      <w:rPr>
        <w:color w:val="808080"/>
        <w:sz w:val="18"/>
        <w:szCs w:val="18"/>
      </w:rPr>
      <w:fldChar w:fldCharType="begin"/>
    </w:r>
    <w:r w:rsidR="00E308B8" w:rsidRPr="00832D34">
      <w:rPr>
        <w:color w:val="808080"/>
        <w:sz w:val="18"/>
        <w:szCs w:val="18"/>
      </w:rPr>
      <w:instrText xml:space="preserve"> FILENAME \* Upper </w:instrText>
    </w:r>
    <w:r w:rsidR="00E308B8" w:rsidRPr="00832D34">
      <w:rPr>
        <w:color w:val="808080"/>
        <w:sz w:val="18"/>
        <w:szCs w:val="18"/>
      </w:rPr>
      <w:fldChar w:fldCharType="separate"/>
    </w:r>
    <w:r w:rsidR="007A44D0">
      <w:rPr>
        <w:noProof/>
        <w:color w:val="808080"/>
        <w:sz w:val="18"/>
        <w:szCs w:val="18"/>
      </w:rPr>
      <w:t>INITIAL SCRUTINY COVID19 ID4038 - MSD</w:t>
    </w:r>
    <w:r w:rsidR="00E308B8" w:rsidRPr="00832D34">
      <w:rPr>
        <w:color w:val="808080"/>
        <w:sz w:val="18"/>
        <w:szCs w:val="18"/>
      </w:rPr>
      <w:fldChar w:fldCharType="end"/>
    </w:r>
    <w:r w:rsidR="00E308B8">
      <w:rPr>
        <w:snapToGrid w:val="0"/>
        <w:color w:val="808080"/>
        <w:sz w:val="18"/>
        <w:szCs w:val="18"/>
      </w:rPr>
      <w:tab/>
    </w:r>
    <w:r w:rsidR="00E308B8">
      <w:rPr>
        <w:snapToGrid w:val="0"/>
        <w:color w:val="808080"/>
        <w:sz w:val="18"/>
        <w:szCs w:val="18"/>
      </w:rPr>
      <w:tab/>
    </w:r>
    <w:r w:rsidR="00E308B8" w:rsidRPr="00EF043B">
      <w:rPr>
        <w:snapToGrid w:val="0"/>
        <w:color w:val="808080"/>
        <w:sz w:val="18"/>
        <w:szCs w:val="18"/>
      </w:rPr>
      <w:t xml:space="preserve">Page </w:t>
    </w:r>
    <w:r w:rsidR="00E308B8" w:rsidRPr="00EF043B">
      <w:rPr>
        <w:snapToGrid w:val="0"/>
        <w:color w:val="808080"/>
        <w:sz w:val="18"/>
        <w:szCs w:val="18"/>
      </w:rPr>
      <w:fldChar w:fldCharType="begin"/>
    </w:r>
    <w:r w:rsidR="00E308B8" w:rsidRPr="00EF043B">
      <w:rPr>
        <w:snapToGrid w:val="0"/>
        <w:color w:val="808080"/>
        <w:sz w:val="18"/>
        <w:szCs w:val="18"/>
      </w:rPr>
      <w:instrText xml:space="preserve"> PAGE </w:instrText>
    </w:r>
    <w:r w:rsidR="00E308B8" w:rsidRPr="00EF043B">
      <w:rPr>
        <w:snapToGrid w:val="0"/>
        <w:color w:val="808080"/>
        <w:sz w:val="18"/>
        <w:szCs w:val="18"/>
      </w:rPr>
      <w:fldChar w:fldCharType="separate"/>
    </w:r>
    <w:r>
      <w:rPr>
        <w:noProof/>
        <w:snapToGrid w:val="0"/>
        <w:color w:val="808080"/>
        <w:sz w:val="18"/>
        <w:szCs w:val="18"/>
      </w:rPr>
      <w:t>1</w:t>
    </w:r>
    <w:r w:rsidR="00E308B8" w:rsidRPr="00EF043B">
      <w:rPr>
        <w:snapToGrid w:val="0"/>
        <w:color w:val="808080"/>
        <w:sz w:val="18"/>
        <w:szCs w:val="18"/>
      </w:rPr>
      <w:fldChar w:fldCharType="end"/>
    </w:r>
    <w:r w:rsidR="00E308B8" w:rsidRPr="00EF043B">
      <w:rPr>
        <w:snapToGrid w:val="0"/>
        <w:color w:val="808080"/>
        <w:sz w:val="18"/>
        <w:szCs w:val="18"/>
      </w:rPr>
      <w:t xml:space="preserve"> of </w:t>
    </w:r>
    <w:r w:rsidR="00E308B8" w:rsidRPr="00EF043B">
      <w:rPr>
        <w:snapToGrid w:val="0"/>
        <w:color w:val="808080"/>
        <w:sz w:val="18"/>
        <w:szCs w:val="18"/>
      </w:rPr>
      <w:fldChar w:fldCharType="begin"/>
    </w:r>
    <w:r w:rsidR="00E308B8" w:rsidRPr="00EF043B">
      <w:rPr>
        <w:snapToGrid w:val="0"/>
        <w:color w:val="808080"/>
        <w:sz w:val="18"/>
        <w:szCs w:val="18"/>
      </w:rPr>
      <w:instrText xml:space="preserve"> NUMPAGES </w:instrText>
    </w:r>
    <w:r w:rsidR="00E308B8" w:rsidRPr="00EF043B">
      <w:rPr>
        <w:snapToGrid w:val="0"/>
        <w:color w:val="808080"/>
        <w:sz w:val="18"/>
        <w:szCs w:val="18"/>
      </w:rPr>
      <w:fldChar w:fldCharType="separate"/>
    </w:r>
    <w:r>
      <w:rPr>
        <w:noProof/>
        <w:snapToGrid w:val="0"/>
        <w:color w:val="808080"/>
        <w:sz w:val="18"/>
        <w:szCs w:val="18"/>
      </w:rPr>
      <w:t>2</w:t>
    </w:r>
    <w:r w:rsidR="00E308B8" w:rsidRPr="00EF043B">
      <w:rPr>
        <w:snapToGrid w:val="0"/>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F99FF" w14:textId="77777777" w:rsidR="00CC452E" w:rsidRDefault="00CC452E">
      <w:r>
        <w:separator/>
      </w:r>
    </w:p>
  </w:footnote>
  <w:footnote w:type="continuationSeparator" w:id="0">
    <w:p w14:paraId="17E3BE44" w14:textId="77777777" w:rsidR="00CC452E" w:rsidRDefault="00CC4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13CC1" w14:textId="77777777" w:rsidR="00491045" w:rsidRDefault="00491045" w:rsidP="00491045">
    <w:pPr>
      <w:pStyle w:val="Header"/>
      <w:tabs>
        <w:tab w:val="right" w:pos="10065"/>
      </w:tabs>
      <w:spacing w:after="0"/>
      <w:ind w:right="-1039"/>
      <w:jc w:val="right"/>
      <w:rPr>
        <w:rFonts w:cs="Arial"/>
        <w:color w:val="0E0E0E"/>
      </w:rPr>
    </w:pPr>
    <w:r w:rsidRPr="005E0434">
      <w:rPr>
        <w:noProof/>
        <w:color w:val="0E0E0E"/>
        <w:lang w:eastAsia="en-GB"/>
      </w:rPr>
      <w:drawing>
        <wp:anchor distT="0" distB="0" distL="114300" distR="114300" simplePos="0" relativeHeight="251659264" behindDoc="0" locked="0" layoutInCell="1" allowOverlap="1" wp14:anchorId="334CDC48" wp14:editId="26AB789F">
          <wp:simplePos x="0" y="0"/>
          <wp:positionH relativeFrom="margin">
            <wp:posOffset>-699770</wp:posOffset>
          </wp:positionH>
          <wp:positionV relativeFrom="margin">
            <wp:posOffset>-1206817</wp:posOffset>
          </wp:positionV>
          <wp:extent cx="2800350" cy="4965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r w:rsidRPr="005E0434">
      <w:rPr>
        <w:noProof/>
        <w:color w:val="0E0E0E"/>
        <w:lang w:eastAsia="en-GB"/>
      </w:rPr>
      <w:softHyphen/>
    </w:r>
    <w:r>
      <w:rPr>
        <w:rFonts w:cs="Arial"/>
        <w:color w:val="0E0E0E"/>
      </w:rPr>
      <w:t>2</w:t>
    </w:r>
    <w:r w:rsidRPr="0003729F">
      <w:rPr>
        <w:rFonts w:cs="Arial"/>
        <w:color w:val="0E0E0E"/>
        <w:vertAlign w:val="superscript"/>
      </w:rPr>
      <w:t>nd</w:t>
    </w:r>
    <w:r>
      <w:rPr>
        <w:rFonts w:cs="Arial"/>
        <w:color w:val="0E0E0E"/>
      </w:rPr>
      <w:t xml:space="preserve"> Floor</w:t>
    </w:r>
  </w:p>
  <w:p w14:paraId="2DD48BCF" w14:textId="77777777" w:rsidR="00491045" w:rsidRPr="005E0434" w:rsidRDefault="00491045" w:rsidP="00491045">
    <w:pPr>
      <w:pStyle w:val="Header"/>
      <w:tabs>
        <w:tab w:val="right" w:pos="10065"/>
      </w:tabs>
      <w:spacing w:after="0"/>
      <w:ind w:right="-1039"/>
      <w:jc w:val="right"/>
      <w:rPr>
        <w:rFonts w:cs="Arial"/>
        <w:color w:val="0E0E0E"/>
      </w:rPr>
    </w:pPr>
    <w:r>
      <w:rPr>
        <w:rFonts w:cs="Arial"/>
        <w:color w:val="0E0E0E"/>
      </w:rPr>
      <w:t>2 Redman Place</w:t>
    </w:r>
  </w:p>
  <w:p w14:paraId="4E0459EB" w14:textId="77777777" w:rsidR="00491045" w:rsidRPr="005E0434" w:rsidRDefault="00491045" w:rsidP="00491045">
    <w:pPr>
      <w:pStyle w:val="Header"/>
      <w:tabs>
        <w:tab w:val="right" w:pos="10065"/>
      </w:tabs>
      <w:spacing w:after="0"/>
      <w:ind w:right="-1039"/>
      <w:jc w:val="right"/>
      <w:rPr>
        <w:rFonts w:cs="Arial"/>
        <w:color w:val="0E0E0E"/>
      </w:rPr>
    </w:pPr>
    <w:r w:rsidRPr="005E0434">
      <w:rPr>
        <w:rFonts w:cs="Arial"/>
        <w:color w:val="0E0E0E"/>
      </w:rPr>
      <w:softHyphen/>
      <w:t>London</w:t>
    </w:r>
  </w:p>
  <w:p w14:paraId="17FA5E6C" w14:textId="77777777" w:rsidR="00491045" w:rsidRPr="005E0434" w:rsidRDefault="00491045" w:rsidP="00491045">
    <w:pPr>
      <w:pStyle w:val="Header"/>
      <w:tabs>
        <w:tab w:val="right" w:pos="10065"/>
      </w:tabs>
      <w:spacing w:after="0"/>
      <w:ind w:right="-1039"/>
      <w:jc w:val="right"/>
      <w:rPr>
        <w:rFonts w:cs="Arial"/>
        <w:color w:val="0E0E0E"/>
      </w:rPr>
    </w:pPr>
    <w:r>
      <w:rPr>
        <w:rFonts w:cs="Arial"/>
        <w:color w:val="0E0E0E"/>
      </w:rPr>
      <w:t>E20 1JQ</w:t>
    </w:r>
  </w:p>
  <w:p w14:paraId="7B0504BC" w14:textId="77777777" w:rsidR="00491045" w:rsidRPr="005E0434" w:rsidRDefault="00491045" w:rsidP="00491045">
    <w:pPr>
      <w:pStyle w:val="Header"/>
      <w:tabs>
        <w:tab w:val="right" w:pos="10065"/>
      </w:tabs>
      <w:spacing w:after="0"/>
      <w:ind w:right="-1039"/>
      <w:jc w:val="right"/>
      <w:rPr>
        <w:rFonts w:cs="Arial"/>
        <w:color w:val="0E0E0E"/>
      </w:rPr>
    </w:pPr>
    <w:r w:rsidRPr="005E0434">
      <w:rPr>
        <w:rFonts w:cs="Arial"/>
        <w:color w:val="0E0E0E"/>
      </w:rPr>
      <w:t>United Kingdom</w:t>
    </w:r>
  </w:p>
  <w:p w14:paraId="0A93A6A6" w14:textId="77777777" w:rsidR="00491045" w:rsidRPr="005E0434" w:rsidRDefault="00491045" w:rsidP="00491045">
    <w:pPr>
      <w:pStyle w:val="Header"/>
      <w:tabs>
        <w:tab w:val="right" w:pos="10065"/>
      </w:tabs>
      <w:spacing w:after="0"/>
      <w:ind w:right="-1039"/>
      <w:jc w:val="right"/>
      <w:rPr>
        <w:rFonts w:cs="Arial"/>
        <w:color w:val="0E0E0E"/>
      </w:rPr>
    </w:pPr>
  </w:p>
  <w:p w14:paraId="5D6CD5A4" w14:textId="77777777" w:rsidR="00491045" w:rsidRPr="003A3E2E" w:rsidRDefault="00491045" w:rsidP="00491045">
    <w:pPr>
      <w:pStyle w:val="Header"/>
      <w:tabs>
        <w:tab w:val="right" w:pos="10065"/>
      </w:tabs>
      <w:spacing w:after="0"/>
      <w:ind w:right="-1039"/>
      <w:jc w:val="right"/>
      <w:rPr>
        <w:rFonts w:ascii="Lato" w:hAnsi="Lato" w:cs="Arial"/>
        <w:color w:val="0E0E0E"/>
      </w:rPr>
    </w:pPr>
    <w:r w:rsidRPr="003A3E2E">
      <w:rPr>
        <w:rFonts w:ascii="Lato" w:hAnsi="Lato" w:cs="Segoe UI"/>
        <w:color w:val="000000"/>
      </w:rPr>
      <w:t>+44 (0)300 323 0140</w:t>
    </w:r>
  </w:p>
  <w:p w14:paraId="1C9776DF" w14:textId="21D4BFDB" w:rsidR="00E308B8" w:rsidRPr="00491045" w:rsidRDefault="00E308B8" w:rsidP="00491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352E09"/>
    <w:multiLevelType w:val="hybridMultilevel"/>
    <w:tmpl w:val="D08DC7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C78997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B"/>
    <w:multiLevelType w:val="multilevel"/>
    <w:tmpl w:val="FAD21376"/>
    <w:lvl w:ilvl="0">
      <w:start w:val="1"/>
      <w:numFmt w:val="decimal"/>
      <w:pStyle w:val="Heading1"/>
      <w:lvlText w:val="%1."/>
      <w:legacy w:legacy="1" w:legacySpace="0" w:legacyIndent="708"/>
      <w:lvlJc w:val="left"/>
      <w:pPr>
        <w:ind w:left="720" w:hanging="708"/>
      </w:pPr>
    </w:lvl>
    <w:lvl w:ilvl="1">
      <w:start w:val="1"/>
      <w:numFmt w:val="decimal"/>
      <w:pStyle w:val="Heading2"/>
      <w:lvlText w:val="%1.%2."/>
      <w:legacy w:legacy="1" w:legacySpace="0" w:legacyIndent="708"/>
      <w:lvlJc w:val="left"/>
      <w:pPr>
        <w:ind w:left="1440" w:hanging="708"/>
      </w:pPr>
    </w:lvl>
    <w:lvl w:ilvl="2">
      <w:start w:val="1"/>
      <w:numFmt w:val="decimal"/>
      <w:pStyle w:val="Heading3"/>
      <w:lvlText w:val="%1.%2.%3."/>
      <w:legacy w:legacy="1" w:legacySpace="0" w:legacyIndent="708"/>
      <w:lvlJc w:val="left"/>
      <w:pPr>
        <w:ind w:left="2404" w:hanging="70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egacy w:legacy="1" w:legacySpace="0" w:legacyIndent="708"/>
      <w:lvlJc w:val="left"/>
      <w:pPr>
        <w:ind w:left="3612" w:hanging="70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Heading5"/>
      <w:lvlText w:val="(%5)"/>
      <w:legacy w:legacy="1" w:legacySpace="0" w:legacyIndent="708"/>
      <w:lvlJc w:val="left"/>
      <w:pPr>
        <w:ind w:left="4349" w:hanging="708"/>
      </w:pPr>
    </w:lvl>
    <w:lvl w:ilvl="5">
      <w:start w:val="1"/>
      <w:numFmt w:val="lowerRoman"/>
      <w:pStyle w:val="Heading6"/>
      <w:lvlText w:val="(%6)"/>
      <w:legacy w:legacy="1" w:legacySpace="0" w:legacyIndent="708"/>
      <w:lvlJc w:val="left"/>
      <w:pPr>
        <w:ind w:left="5058" w:hanging="708"/>
      </w:pPr>
    </w:lvl>
    <w:lvl w:ilvl="6">
      <w:start w:val="1"/>
      <w:numFmt w:val="none"/>
      <w:pStyle w:val="Heading7"/>
      <w:lvlText w:val=""/>
      <w:legacy w:legacy="1" w:legacySpace="0" w:legacyIndent="708"/>
      <w:lvlJc w:val="left"/>
      <w:pPr>
        <w:ind w:left="5761" w:hanging="708"/>
      </w:pPr>
      <w:rPr>
        <w:rFonts w:ascii="Symbol" w:hAnsi="Symbol" w:hint="default"/>
      </w:rPr>
    </w:lvl>
    <w:lvl w:ilvl="7">
      <w:start w:val="1"/>
      <w:numFmt w:val="none"/>
      <w:pStyle w:val="Heading8"/>
      <w:lvlText w:val=""/>
      <w:legacy w:legacy="1" w:legacySpace="0" w:legacyIndent="708"/>
      <w:lvlJc w:val="left"/>
      <w:pPr>
        <w:ind w:left="6447" w:hanging="708"/>
      </w:pPr>
      <w:rPr>
        <w:rFonts w:ascii="Symbol" w:hAnsi="Symbol" w:hint="default"/>
      </w:rPr>
    </w:lvl>
    <w:lvl w:ilvl="8">
      <w:start w:val="1"/>
      <w:numFmt w:val="none"/>
      <w:pStyle w:val="Heading9"/>
      <w:lvlText w:val=""/>
      <w:legacy w:legacy="1" w:legacySpace="0" w:legacyIndent="708"/>
      <w:lvlJc w:val="left"/>
      <w:pPr>
        <w:ind w:left="7155" w:hanging="708"/>
      </w:pPr>
      <w:rPr>
        <w:rFonts w:ascii="Symbol" w:hAnsi="Symbol" w:hint="default"/>
      </w:rPr>
    </w:lvl>
  </w:abstractNum>
  <w:abstractNum w:abstractNumId="3" w15:restartNumberingAfterBreak="0">
    <w:nsid w:val="01780A06"/>
    <w:multiLevelType w:val="hybridMultilevel"/>
    <w:tmpl w:val="81A2A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ED1DAD"/>
    <w:multiLevelType w:val="hybridMultilevel"/>
    <w:tmpl w:val="C0EA76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DF3CAE"/>
    <w:multiLevelType w:val="hybridMultilevel"/>
    <w:tmpl w:val="32A2F77E"/>
    <w:lvl w:ilvl="0" w:tplc="A5FC299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0C76D5"/>
    <w:multiLevelType w:val="hybridMultilevel"/>
    <w:tmpl w:val="354CFF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BD159CD"/>
    <w:multiLevelType w:val="hybridMultilevel"/>
    <w:tmpl w:val="343EBF16"/>
    <w:lvl w:ilvl="0" w:tplc="678AA1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C41087"/>
    <w:multiLevelType w:val="hybridMultilevel"/>
    <w:tmpl w:val="D2ACA6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4E225A"/>
    <w:multiLevelType w:val="hybridMultilevel"/>
    <w:tmpl w:val="441A1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2F58B5"/>
    <w:multiLevelType w:val="hybridMultilevel"/>
    <w:tmpl w:val="C1546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D0013B"/>
    <w:multiLevelType w:val="hybridMultilevel"/>
    <w:tmpl w:val="523C4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A90BB6"/>
    <w:multiLevelType w:val="hybridMultilevel"/>
    <w:tmpl w:val="0F766B3A"/>
    <w:lvl w:ilvl="0" w:tplc="678AA1F2">
      <w:start w:val="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526A14"/>
    <w:multiLevelType w:val="hybridMultilevel"/>
    <w:tmpl w:val="851AA8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FE7687"/>
    <w:multiLevelType w:val="hybridMultilevel"/>
    <w:tmpl w:val="0B30942A"/>
    <w:lvl w:ilvl="0" w:tplc="ED30F1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7E073F"/>
    <w:multiLevelType w:val="hybridMultilevel"/>
    <w:tmpl w:val="FC3AD1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985982"/>
    <w:multiLevelType w:val="hybridMultilevel"/>
    <w:tmpl w:val="23C47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9715A4"/>
    <w:multiLevelType w:val="hybridMultilevel"/>
    <w:tmpl w:val="91C4A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E751A2"/>
    <w:multiLevelType w:val="hybridMultilevel"/>
    <w:tmpl w:val="FBC2C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BC7B7D"/>
    <w:multiLevelType w:val="hybridMultilevel"/>
    <w:tmpl w:val="7BC845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246CA6"/>
    <w:multiLevelType w:val="hybridMultilevel"/>
    <w:tmpl w:val="E894F61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3BAE5383"/>
    <w:multiLevelType w:val="hybridMultilevel"/>
    <w:tmpl w:val="20C23D0E"/>
    <w:lvl w:ilvl="0" w:tplc="28D6E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C8632C"/>
    <w:multiLevelType w:val="hybridMultilevel"/>
    <w:tmpl w:val="26E460D6"/>
    <w:lvl w:ilvl="0" w:tplc="A5FC299A">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7945F1"/>
    <w:multiLevelType w:val="hybridMultilevel"/>
    <w:tmpl w:val="C56E9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D037D2"/>
    <w:multiLevelType w:val="hybridMultilevel"/>
    <w:tmpl w:val="5C8A9156"/>
    <w:lvl w:ilvl="0" w:tplc="28D6E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90189A"/>
    <w:multiLevelType w:val="hybridMultilevel"/>
    <w:tmpl w:val="E2E64854"/>
    <w:lvl w:ilvl="0" w:tplc="510A83D8">
      <w:numFmt w:val="bullet"/>
      <w:lvlText w:val=""/>
      <w:lvlJc w:val="left"/>
      <w:pPr>
        <w:ind w:left="502" w:hanging="285"/>
      </w:pPr>
      <w:rPr>
        <w:rFonts w:ascii="Symbol" w:eastAsia="Symbol" w:hAnsi="Symbol" w:cs="Symbol" w:hint="default"/>
        <w:w w:val="100"/>
        <w:sz w:val="24"/>
        <w:szCs w:val="24"/>
      </w:rPr>
    </w:lvl>
    <w:lvl w:ilvl="1" w:tplc="70E68858">
      <w:numFmt w:val="bullet"/>
      <w:lvlText w:val="•"/>
      <w:lvlJc w:val="left"/>
      <w:pPr>
        <w:ind w:left="1326" w:hanging="285"/>
      </w:pPr>
      <w:rPr>
        <w:rFonts w:hint="default"/>
      </w:rPr>
    </w:lvl>
    <w:lvl w:ilvl="2" w:tplc="14A8D234">
      <w:numFmt w:val="bullet"/>
      <w:lvlText w:val="•"/>
      <w:lvlJc w:val="left"/>
      <w:pPr>
        <w:ind w:left="2152" w:hanging="285"/>
      </w:pPr>
      <w:rPr>
        <w:rFonts w:hint="default"/>
      </w:rPr>
    </w:lvl>
    <w:lvl w:ilvl="3" w:tplc="D340D50A">
      <w:numFmt w:val="bullet"/>
      <w:lvlText w:val="•"/>
      <w:lvlJc w:val="left"/>
      <w:pPr>
        <w:ind w:left="2978" w:hanging="285"/>
      </w:pPr>
      <w:rPr>
        <w:rFonts w:hint="default"/>
      </w:rPr>
    </w:lvl>
    <w:lvl w:ilvl="4" w:tplc="91BE99B2">
      <w:numFmt w:val="bullet"/>
      <w:lvlText w:val="•"/>
      <w:lvlJc w:val="left"/>
      <w:pPr>
        <w:ind w:left="3804" w:hanging="285"/>
      </w:pPr>
      <w:rPr>
        <w:rFonts w:hint="default"/>
      </w:rPr>
    </w:lvl>
    <w:lvl w:ilvl="5" w:tplc="E594F0CC">
      <w:numFmt w:val="bullet"/>
      <w:lvlText w:val="•"/>
      <w:lvlJc w:val="left"/>
      <w:pPr>
        <w:ind w:left="4630" w:hanging="285"/>
      </w:pPr>
      <w:rPr>
        <w:rFonts w:hint="default"/>
      </w:rPr>
    </w:lvl>
    <w:lvl w:ilvl="6" w:tplc="7AFA5F86">
      <w:numFmt w:val="bullet"/>
      <w:lvlText w:val="•"/>
      <w:lvlJc w:val="left"/>
      <w:pPr>
        <w:ind w:left="5456" w:hanging="285"/>
      </w:pPr>
      <w:rPr>
        <w:rFonts w:hint="default"/>
      </w:rPr>
    </w:lvl>
    <w:lvl w:ilvl="7" w:tplc="2C2CF4D6">
      <w:numFmt w:val="bullet"/>
      <w:lvlText w:val="•"/>
      <w:lvlJc w:val="left"/>
      <w:pPr>
        <w:ind w:left="6282" w:hanging="285"/>
      </w:pPr>
      <w:rPr>
        <w:rFonts w:hint="default"/>
      </w:rPr>
    </w:lvl>
    <w:lvl w:ilvl="8" w:tplc="75FCA95C">
      <w:numFmt w:val="bullet"/>
      <w:lvlText w:val="•"/>
      <w:lvlJc w:val="left"/>
      <w:pPr>
        <w:ind w:left="7108" w:hanging="285"/>
      </w:pPr>
      <w:rPr>
        <w:rFonts w:hint="default"/>
      </w:rPr>
    </w:lvl>
  </w:abstractNum>
  <w:abstractNum w:abstractNumId="26" w15:restartNumberingAfterBreak="0">
    <w:nsid w:val="4633557D"/>
    <w:multiLevelType w:val="hybridMultilevel"/>
    <w:tmpl w:val="DCDC7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C531A9"/>
    <w:multiLevelType w:val="hybridMultilevel"/>
    <w:tmpl w:val="99F274A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5085FF4"/>
    <w:multiLevelType w:val="hybridMultilevel"/>
    <w:tmpl w:val="9C7E14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561894"/>
    <w:multiLevelType w:val="hybridMultilevel"/>
    <w:tmpl w:val="52341780"/>
    <w:lvl w:ilvl="0" w:tplc="28D6E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C93D14"/>
    <w:multiLevelType w:val="multilevel"/>
    <w:tmpl w:val="EDC2B0A0"/>
    <w:lvl w:ilvl="0">
      <w:start w:val="1"/>
      <w:numFmt w:val="decimal"/>
      <w:pStyle w:val="Paragraph"/>
      <w:lvlText w:val="%1."/>
      <w:lvlJc w:val="left"/>
      <w:pPr>
        <w:ind w:left="851" w:hanging="851"/>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1A545E2"/>
    <w:multiLevelType w:val="hybridMultilevel"/>
    <w:tmpl w:val="9028B44C"/>
    <w:lvl w:ilvl="0" w:tplc="A6907310">
      <w:start w:val="1"/>
      <w:numFmt w:val="lowerRoman"/>
      <w:lvlText w:val="(%1)"/>
      <w:lvlJc w:val="left"/>
      <w:pPr>
        <w:ind w:left="1110" w:hanging="72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32" w15:restartNumberingAfterBreak="0">
    <w:nsid w:val="6614533C"/>
    <w:multiLevelType w:val="hybridMultilevel"/>
    <w:tmpl w:val="C8E82536"/>
    <w:lvl w:ilvl="0" w:tplc="678AA1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145E95"/>
    <w:multiLevelType w:val="hybridMultilevel"/>
    <w:tmpl w:val="010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5055A4"/>
    <w:multiLevelType w:val="hybridMultilevel"/>
    <w:tmpl w:val="96104B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6014F2C"/>
    <w:multiLevelType w:val="hybridMultilevel"/>
    <w:tmpl w:val="58DA0C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83406B"/>
    <w:multiLevelType w:val="hybridMultilevel"/>
    <w:tmpl w:val="FAC87EC8"/>
    <w:lvl w:ilvl="0" w:tplc="535C66D2">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9B5099"/>
    <w:multiLevelType w:val="hybridMultilevel"/>
    <w:tmpl w:val="7AA47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A12C9A"/>
    <w:multiLevelType w:val="hybridMultilevel"/>
    <w:tmpl w:val="7B4C8442"/>
    <w:lvl w:ilvl="0" w:tplc="08090001">
      <w:start w:val="1"/>
      <w:numFmt w:val="bullet"/>
      <w:lvlText w:val=""/>
      <w:lvlJc w:val="left"/>
      <w:pPr>
        <w:ind w:left="1550" w:hanging="360"/>
      </w:pPr>
      <w:rPr>
        <w:rFonts w:ascii="Symbol" w:hAnsi="Symbol" w:hint="default"/>
      </w:rPr>
    </w:lvl>
    <w:lvl w:ilvl="1" w:tplc="08090003" w:tentative="1">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39" w15:restartNumberingAfterBreak="0">
    <w:nsid w:val="7EB10FCC"/>
    <w:multiLevelType w:val="hybridMultilevel"/>
    <w:tmpl w:val="AC6C282E"/>
    <w:lvl w:ilvl="0" w:tplc="93440D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1330296">
    <w:abstractNumId w:val="2"/>
  </w:num>
  <w:num w:numId="2" w16cid:durableId="39787667">
    <w:abstractNumId w:val="8"/>
  </w:num>
  <w:num w:numId="3" w16cid:durableId="1528443831">
    <w:abstractNumId w:val="30"/>
  </w:num>
  <w:num w:numId="4" w16cid:durableId="1572738566">
    <w:abstractNumId w:val="30"/>
  </w:num>
  <w:num w:numId="5" w16cid:durableId="673454948">
    <w:abstractNumId w:val="31"/>
  </w:num>
  <w:num w:numId="6" w16cid:durableId="1844271611">
    <w:abstractNumId w:val="0"/>
  </w:num>
  <w:num w:numId="7" w16cid:durableId="1145463744">
    <w:abstractNumId w:val="30"/>
  </w:num>
  <w:num w:numId="8" w16cid:durableId="1858109167">
    <w:abstractNumId w:val="30"/>
  </w:num>
  <w:num w:numId="9" w16cid:durableId="540754513">
    <w:abstractNumId w:val="30"/>
  </w:num>
  <w:num w:numId="10" w16cid:durableId="458888377">
    <w:abstractNumId w:val="22"/>
  </w:num>
  <w:num w:numId="11" w16cid:durableId="361439497">
    <w:abstractNumId w:val="5"/>
  </w:num>
  <w:num w:numId="12" w16cid:durableId="1058747961">
    <w:abstractNumId w:val="21"/>
  </w:num>
  <w:num w:numId="13" w16cid:durableId="1378509485">
    <w:abstractNumId w:val="24"/>
  </w:num>
  <w:num w:numId="14" w16cid:durableId="1253006884">
    <w:abstractNumId w:val="29"/>
  </w:num>
  <w:num w:numId="15" w16cid:durableId="505284860">
    <w:abstractNumId w:val="17"/>
  </w:num>
  <w:num w:numId="16" w16cid:durableId="988561350">
    <w:abstractNumId w:val="26"/>
  </w:num>
  <w:num w:numId="17" w16cid:durableId="443303828">
    <w:abstractNumId w:val="34"/>
  </w:num>
  <w:num w:numId="18" w16cid:durableId="1265307446">
    <w:abstractNumId w:val="7"/>
  </w:num>
  <w:num w:numId="19" w16cid:durableId="845941526">
    <w:abstractNumId w:val="32"/>
  </w:num>
  <w:num w:numId="20" w16cid:durableId="1813130536">
    <w:abstractNumId w:val="20"/>
  </w:num>
  <w:num w:numId="21" w16cid:durableId="1164054140">
    <w:abstractNumId w:val="9"/>
  </w:num>
  <w:num w:numId="22" w16cid:durableId="375474090">
    <w:abstractNumId w:val="36"/>
  </w:num>
  <w:num w:numId="23" w16cid:durableId="1035039760">
    <w:abstractNumId w:val="1"/>
  </w:num>
  <w:num w:numId="24" w16cid:durableId="602299640">
    <w:abstractNumId w:val="25"/>
  </w:num>
  <w:num w:numId="25" w16cid:durableId="788621816">
    <w:abstractNumId w:val="12"/>
  </w:num>
  <w:num w:numId="26" w16cid:durableId="1182164826">
    <w:abstractNumId w:val="33"/>
  </w:num>
  <w:num w:numId="27" w16cid:durableId="102962954">
    <w:abstractNumId w:val="11"/>
  </w:num>
  <w:num w:numId="28" w16cid:durableId="307905601">
    <w:abstractNumId w:val="30"/>
  </w:num>
  <w:num w:numId="29" w16cid:durableId="1118527326">
    <w:abstractNumId w:val="30"/>
  </w:num>
  <w:num w:numId="30" w16cid:durableId="863790661">
    <w:abstractNumId w:val="15"/>
  </w:num>
  <w:num w:numId="31" w16cid:durableId="1027291489">
    <w:abstractNumId w:val="30"/>
  </w:num>
  <w:num w:numId="32" w16cid:durableId="1242564996">
    <w:abstractNumId w:val="30"/>
  </w:num>
  <w:num w:numId="33" w16cid:durableId="892232662">
    <w:abstractNumId w:val="39"/>
  </w:num>
  <w:num w:numId="34" w16cid:durableId="675153956">
    <w:abstractNumId w:val="16"/>
  </w:num>
  <w:num w:numId="35" w16cid:durableId="1457094560">
    <w:abstractNumId w:val="3"/>
  </w:num>
  <w:num w:numId="36" w16cid:durableId="457340873">
    <w:abstractNumId w:val="35"/>
  </w:num>
  <w:num w:numId="37" w16cid:durableId="853030883">
    <w:abstractNumId w:val="37"/>
  </w:num>
  <w:num w:numId="38" w16cid:durableId="1467621402">
    <w:abstractNumId w:val="18"/>
  </w:num>
  <w:num w:numId="39" w16cid:durableId="1947690224">
    <w:abstractNumId w:val="27"/>
  </w:num>
  <w:num w:numId="40" w16cid:durableId="1683047315">
    <w:abstractNumId w:val="23"/>
  </w:num>
  <w:num w:numId="41" w16cid:durableId="1141339709">
    <w:abstractNumId w:val="19"/>
  </w:num>
  <w:num w:numId="42" w16cid:durableId="1592856633">
    <w:abstractNumId w:val="10"/>
  </w:num>
  <w:num w:numId="43" w16cid:durableId="711464611">
    <w:abstractNumId w:val="38"/>
  </w:num>
  <w:num w:numId="44" w16cid:durableId="1683968750">
    <w:abstractNumId w:val="6"/>
  </w:num>
  <w:num w:numId="45" w16cid:durableId="1004934162">
    <w:abstractNumId w:val="4"/>
  </w:num>
  <w:num w:numId="46" w16cid:durableId="990329016">
    <w:abstractNumId w:val="14"/>
  </w:num>
  <w:num w:numId="47" w16cid:durableId="39599226">
    <w:abstractNumId w:val="28"/>
  </w:num>
  <w:num w:numId="48" w16cid:durableId="93640481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200"/>
    <w:rsid w:val="00001138"/>
    <w:rsid w:val="00003026"/>
    <w:rsid w:val="00005147"/>
    <w:rsid w:val="00010318"/>
    <w:rsid w:val="00010CE6"/>
    <w:rsid w:val="000111DB"/>
    <w:rsid w:val="00012EE5"/>
    <w:rsid w:val="0001311E"/>
    <w:rsid w:val="0001395E"/>
    <w:rsid w:val="00015ACB"/>
    <w:rsid w:val="0002043D"/>
    <w:rsid w:val="000218C9"/>
    <w:rsid w:val="000223BD"/>
    <w:rsid w:val="00023A44"/>
    <w:rsid w:val="00023DA7"/>
    <w:rsid w:val="00024CAE"/>
    <w:rsid w:val="00024DA5"/>
    <w:rsid w:val="00025D77"/>
    <w:rsid w:val="00027434"/>
    <w:rsid w:val="00027796"/>
    <w:rsid w:val="000329FE"/>
    <w:rsid w:val="00033E75"/>
    <w:rsid w:val="000348BC"/>
    <w:rsid w:val="00035F7E"/>
    <w:rsid w:val="00037C8E"/>
    <w:rsid w:val="00040031"/>
    <w:rsid w:val="00043759"/>
    <w:rsid w:val="00047383"/>
    <w:rsid w:val="00051A0C"/>
    <w:rsid w:val="000521EB"/>
    <w:rsid w:val="00052894"/>
    <w:rsid w:val="00052F61"/>
    <w:rsid w:val="000532DA"/>
    <w:rsid w:val="0005569B"/>
    <w:rsid w:val="000557D6"/>
    <w:rsid w:val="00056CD2"/>
    <w:rsid w:val="000666AA"/>
    <w:rsid w:val="0006785D"/>
    <w:rsid w:val="00067E26"/>
    <w:rsid w:val="0007095A"/>
    <w:rsid w:val="000709E5"/>
    <w:rsid w:val="00070F2C"/>
    <w:rsid w:val="00071B61"/>
    <w:rsid w:val="00080FCA"/>
    <w:rsid w:val="00082FAB"/>
    <w:rsid w:val="00083604"/>
    <w:rsid w:val="00084FD0"/>
    <w:rsid w:val="000853F6"/>
    <w:rsid w:val="00085837"/>
    <w:rsid w:val="00087222"/>
    <w:rsid w:val="000878D5"/>
    <w:rsid w:val="00087E34"/>
    <w:rsid w:val="000928C5"/>
    <w:rsid w:val="00093693"/>
    <w:rsid w:val="00096EBF"/>
    <w:rsid w:val="000977EB"/>
    <w:rsid w:val="000A2D0F"/>
    <w:rsid w:val="000A37ED"/>
    <w:rsid w:val="000A4213"/>
    <w:rsid w:val="000A490C"/>
    <w:rsid w:val="000A4DFC"/>
    <w:rsid w:val="000A5046"/>
    <w:rsid w:val="000A5CB6"/>
    <w:rsid w:val="000B1D36"/>
    <w:rsid w:val="000B3C21"/>
    <w:rsid w:val="000B5760"/>
    <w:rsid w:val="000B73F9"/>
    <w:rsid w:val="000C00E2"/>
    <w:rsid w:val="000C0C80"/>
    <w:rsid w:val="000C1755"/>
    <w:rsid w:val="000C2319"/>
    <w:rsid w:val="000C481F"/>
    <w:rsid w:val="000C5EE0"/>
    <w:rsid w:val="000D1E58"/>
    <w:rsid w:val="000D47C6"/>
    <w:rsid w:val="000D70F5"/>
    <w:rsid w:val="000E020F"/>
    <w:rsid w:val="000E16D3"/>
    <w:rsid w:val="000E1E1F"/>
    <w:rsid w:val="000E3D27"/>
    <w:rsid w:val="000E40C4"/>
    <w:rsid w:val="000E41C1"/>
    <w:rsid w:val="000E701F"/>
    <w:rsid w:val="000F014D"/>
    <w:rsid w:val="000F310D"/>
    <w:rsid w:val="000F3523"/>
    <w:rsid w:val="000F550B"/>
    <w:rsid w:val="000F6BB5"/>
    <w:rsid w:val="000F6EB6"/>
    <w:rsid w:val="0010260D"/>
    <w:rsid w:val="00102884"/>
    <w:rsid w:val="00102F59"/>
    <w:rsid w:val="00106505"/>
    <w:rsid w:val="00106579"/>
    <w:rsid w:val="00106BC7"/>
    <w:rsid w:val="00107520"/>
    <w:rsid w:val="00111749"/>
    <w:rsid w:val="00112B6E"/>
    <w:rsid w:val="00116523"/>
    <w:rsid w:val="00120071"/>
    <w:rsid w:val="00120FFA"/>
    <w:rsid w:val="001232BE"/>
    <w:rsid w:val="00123922"/>
    <w:rsid w:val="00123B83"/>
    <w:rsid w:val="001274BF"/>
    <w:rsid w:val="00131602"/>
    <w:rsid w:val="001319CF"/>
    <w:rsid w:val="00131AC3"/>
    <w:rsid w:val="00132DDC"/>
    <w:rsid w:val="001340F4"/>
    <w:rsid w:val="00135B24"/>
    <w:rsid w:val="00136C94"/>
    <w:rsid w:val="00141361"/>
    <w:rsid w:val="0014379D"/>
    <w:rsid w:val="001446B5"/>
    <w:rsid w:val="00145246"/>
    <w:rsid w:val="001465BD"/>
    <w:rsid w:val="0014692A"/>
    <w:rsid w:val="001470EF"/>
    <w:rsid w:val="00150421"/>
    <w:rsid w:val="0015082F"/>
    <w:rsid w:val="00151269"/>
    <w:rsid w:val="00156C49"/>
    <w:rsid w:val="00160220"/>
    <w:rsid w:val="00160A2A"/>
    <w:rsid w:val="00163C9B"/>
    <w:rsid w:val="00165ADB"/>
    <w:rsid w:val="00166099"/>
    <w:rsid w:val="0016715B"/>
    <w:rsid w:val="00170431"/>
    <w:rsid w:val="00170F86"/>
    <w:rsid w:val="00173ECF"/>
    <w:rsid w:val="001760DF"/>
    <w:rsid w:val="0017732F"/>
    <w:rsid w:val="001813C3"/>
    <w:rsid w:val="00182BDA"/>
    <w:rsid w:val="00184EE2"/>
    <w:rsid w:val="00184FB8"/>
    <w:rsid w:val="001858AE"/>
    <w:rsid w:val="00190623"/>
    <w:rsid w:val="00190698"/>
    <w:rsid w:val="00190763"/>
    <w:rsid w:val="001908C4"/>
    <w:rsid w:val="001910A0"/>
    <w:rsid w:val="001945C8"/>
    <w:rsid w:val="00194EE4"/>
    <w:rsid w:val="00195AFA"/>
    <w:rsid w:val="001969C2"/>
    <w:rsid w:val="001975D1"/>
    <w:rsid w:val="001A0143"/>
    <w:rsid w:val="001A18CA"/>
    <w:rsid w:val="001A265B"/>
    <w:rsid w:val="001B0102"/>
    <w:rsid w:val="001B15DD"/>
    <w:rsid w:val="001B23C6"/>
    <w:rsid w:val="001B3CCB"/>
    <w:rsid w:val="001B71EA"/>
    <w:rsid w:val="001B7AF4"/>
    <w:rsid w:val="001C4BE3"/>
    <w:rsid w:val="001C5E69"/>
    <w:rsid w:val="001C655B"/>
    <w:rsid w:val="001D0BF5"/>
    <w:rsid w:val="001D2202"/>
    <w:rsid w:val="001D24F6"/>
    <w:rsid w:val="001D26C0"/>
    <w:rsid w:val="001D6525"/>
    <w:rsid w:val="001D736F"/>
    <w:rsid w:val="001E0293"/>
    <w:rsid w:val="001E1A1B"/>
    <w:rsid w:val="001E21AC"/>
    <w:rsid w:val="001E615E"/>
    <w:rsid w:val="001E7E23"/>
    <w:rsid w:val="001F14E3"/>
    <w:rsid w:val="001F15B2"/>
    <w:rsid w:val="001F15C2"/>
    <w:rsid w:val="001F1CF7"/>
    <w:rsid w:val="001F2364"/>
    <w:rsid w:val="001F38A1"/>
    <w:rsid w:val="001F4B8B"/>
    <w:rsid w:val="001F55F0"/>
    <w:rsid w:val="001F649E"/>
    <w:rsid w:val="001F6DCA"/>
    <w:rsid w:val="001F6F89"/>
    <w:rsid w:val="001F7A9F"/>
    <w:rsid w:val="00200442"/>
    <w:rsid w:val="0020344E"/>
    <w:rsid w:val="0020398C"/>
    <w:rsid w:val="00203EE8"/>
    <w:rsid w:val="002044E6"/>
    <w:rsid w:val="00205000"/>
    <w:rsid w:val="002064F0"/>
    <w:rsid w:val="00206A41"/>
    <w:rsid w:val="00211AE9"/>
    <w:rsid w:val="00211FE0"/>
    <w:rsid w:val="002129C1"/>
    <w:rsid w:val="00212BBC"/>
    <w:rsid w:val="0021444D"/>
    <w:rsid w:val="00217BFB"/>
    <w:rsid w:val="00217D5F"/>
    <w:rsid w:val="00217D8E"/>
    <w:rsid w:val="00220A3C"/>
    <w:rsid w:val="00220DE8"/>
    <w:rsid w:val="00220FC9"/>
    <w:rsid w:val="002216BB"/>
    <w:rsid w:val="00221723"/>
    <w:rsid w:val="00223EBE"/>
    <w:rsid w:val="002254B0"/>
    <w:rsid w:val="002254EC"/>
    <w:rsid w:val="00232FF4"/>
    <w:rsid w:val="002345EE"/>
    <w:rsid w:val="0023747F"/>
    <w:rsid w:val="00237C6C"/>
    <w:rsid w:val="002414DB"/>
    <w:rsid w:val="00242592"/>
    <w:rsid w:val="0024367E"/>
    <w:rsid w:val="0024377B"/>
    <w:rsid w:val="0025046D"/>
    <w:rsid w:val="0025347A"/>
    <w:rsid w:val="00254235"/>
    <w:rsid w:val="00254708"/>
    <w:rsid w:val="00254ED0"/>
    <w:rsid w:val="00255C8A"/>
    <w:rsid w:val="00256705"/>
    <w:rsid w:val="00256BF4"/>
    <w:rsid w:val="00262058"/>
    <w:rsid w:val="0026324F"/>
    <w:rsid w:val="002635A5"/>
    <w:rsid w:val="00265E9A"/>
    <w:rsid w:val="00271E0A"/>
    <w:rsid w:val="00273C2E"/>
    <w:rsid w:val="00274609"/>
    <w:rsid w:val="00275528"/>
    <w:rsid w:val="00276867"/>
    <w:rsid w:val="00277475"/>
    <w:rsid w:val="002807D9"/>
    <w:rsid w:val="002812E6"/>
    <w:rsid w:val="00283C5A"/>
    <w:rsid w:val="00283D6A"/>
    <w:rsid w:val="00283D6E"/>
    <w:rsid w:val="00284917"/>
    <w:rsid w:val="00284CBA"/>
    <w:rsid w:val="00284E4D"/>
    <w:rsid w:val="0028620E"/>
    <w:rsid w:val="00286FC5"/>
    <w:rsid w:val="00287EB6"/>
    <w:rsid w:val="002934DE"/>
    <w:rsid w:val="00294EB1"/>
    <w:rsid w:val="00295CD1"/>
    <w:rsid w:val="00296DE9"/>
    <w:rsid w:val="002A09A7"/>
    <w:rsid w:val="002A0A8D"/>
    <w:rsid w:val="002A254E"/>
    <w:rsid w:val="002A4E90"/>
    <w:rsid w:val="002B15C4"/>
    <w:rsid w:val="002B1CEE"/>
    <w:rsid w:val="002B21D4"/>
    <w:rsid w:val="002B21EE"/>
    <w:rsid w:val="002B374B"/>
    <w:rsid w:val="002C14B2"/>
    <w:rsid w:val="002C15B5"/>
    <w:rsid w:val="002C2FB3"/>
    <w:rsid w:val="002C307A"/>
    <w:rsid w:val="002C3E42"/>
    <w:rsid w:val="002C4163"/>
    <w:rsid w:val="002C4202"/>
    <w:rsid w:val="002C5356"/>
    <w:rsid w:val="002D2923"/>
    <w:rsid w:val="002D3872"/>
    <w:rsid w:val="002D3F7D"/>
    <w:rsid w:val="002D40EC"/>
    <w:rsid w:val="002D412A"/>
    <w:rsid w:val="002D4715"/>
    <w:rsid w:val="002D5570"/>
    <w:rsid w:val="002D5710"/>
    <w:rsid w:val="002E3159"/>
    <w:rsid w:val="002E4D13"/>
    <w:rsid w:val="002E54BF"/>
    <w:rsid w:val="002E6A1E"/>
    <w:rsid w:val="002E7387"/>
    <w:rsid w:val="002E7FE1"/>
    <w:rsid w:val="002F12C9"/>
    <w:rsid w:val="002F25FC"/>
    <w:rsid w:val="002F30B4"/>
    <w:rsid w:val="002F374D"/>
    <w:rsid w:val="002F3DD6"/>
    <w:rsid w:val="002F6526"/>
    <w:rsid w:val="00301506"/>
    <w:rsid w:val="003027BC"/>
    <w:rsid w:val="0030373B"/>
    <w:rsid w:val="0031013D"/>
    <w:rsid w:val="00310279"/>
    <w:rsid w:val="00312A6F"/>
    <w:rsid w:val="003133C4"/>
    <w:rsid w:val="00314589"/>
    <w:rsid w:val="00315F59"/>
    <w:rsid w:val="00316CD0"/>
    <w:rsid w:val="00316D28"/>
    <w:rsid w:val="00317646"/>
    <w:rsid w:val="00317CB2"/>
    <w:rsid w:val="00321A60"/>
    <w:rsid w:val="00323185"/>
    <w:rsid w:val="0032339A"/>
    <w:rsid w:val="00326AFE"/>
    <w:rsid w:val="00326E72"/>
    <w:rsid w:val="003308CE"/>
    <w:rsid w:val="00332149"/>
    <w:rsid w:val="00332360"/>
    <w:rsid w:val="00332C05"/>
    <w:rsid w:val="00333293"/>
    <w:rsid w:val="0033740C"/>
    <w:rsid w:val="00340437"/>
    <w:rsid w:val="00340A96"/>
    <w:rsid w:val="00343447"/>
    <w:rsid w:val="00343CE3"/>
    <w:rsid w:val="00345918"/>
    <w:rsid w:val="003473D1"/>
    <w:rsid w:val="003478F6"/>
    <w:rsid w:val="003532BA"/>
    <w:rsid w:val="00354240"/>
    <w:rsid w:val="003578FE"/>
    <w:rsid w:val="00360954"/>
    <w:rsid w:val="00361121"/>
    <w:rsid w:val="00361B5A"/>
    <w:rsid w:val="00361D53"/>
    <w:rsid w:val="003627D7"/>
    <w:rsid w:val="00362B49"/>
    <w:rsid w:val="0036323C"/>
    <w:rsid w:val="00363392"/>
    <w:rsid w:val="003637D3"/>
    <w:rsid w:val="0036437A"/>
    <w:rsid w:val="00364F4F"/>
    <w:rsid w:val="00366A70"/>
    <w:rsid w:val="00367ABE"/>
    <w:rsid w:val="00371C6B"/>
    <w:rsid w:val="00372735"/>
    <w:rsid w:val="003744DB"/>
    <w:rsid w:val="003775E8"/>
    <w:rsid w:val="00381E46"/>
    <w:rsid w:val="00382D01"/>
    <w:rsid w:val="00383DDC"/>
    <w:rsid w:val="0038454F"/>
    <w:rsid w:val="003869E1"/>
    <w:rsid w:val="00387860"/>
    <w:rsid w:val="00393619"/>
    <w:rsid w:val="00395196"/>
    <w:rsid w:val="0039570A"/>
    <w:rsid w:val="00396B85"/>
    <w:rsid w:val="003A32B3"/>
    <w:rsid w:val="003A74FD"/>
    <w:rsid w:val="003A78CC"/>
    <w:rsid w:val="003A7A38"/>
    <w:rsid w:val="003B056B"/>
    <w:rsid w:val="003B0952"/>
    <w:rsid w:val="003B29ED"/>
    <w:rsid w:val="003B52C8"/>
    <w:rsid w:val="003B5308"/>
    <w:rsid w:val="003C3DEB"/>
    <w:rsid w:val="003C4D96"/>
    <w:rsid w:val="003C5792"/>
    <w:rsid w:val="003C6A00"/>
    <w:rsid w:val="003C6E7C"/>
    <w:rsid w:val="003C7489"/>
    <w:rsid w:val="003D1A18"/>
    <w:rsid w:val="003D1E02"/>
    <w:rsid w:val="003D2B50"/>
    <w:rsid w:val="003D3448"/>
    <w:rsid w:val="003D6990"/>
    <w:rsid w:val="003D6A17"/>
    <w:rsid w:val="003E0586"/>
    <w:rsid w:val="003E09ED"/>
    <w:rsid w:val="003E2CBA"/>
    <w:rsid w:val="003E3E69"/>
    <w:rsid w:val="003E5293"/>
    <w:rsid w:val="003E64E4"/>
    <w:rsid w:val="003E67E7"/>
    <w:rsid w:val="003F0380"/>
    <w:rsid w:val="003F37D0"/>
    <w:rsid w:val="003F43C4"/>
    <w:rsid w:val="003F4FBF"/>
    <w:rsid w:val="003F7848"/>
    <w:rsid w:val="0040061D"/>
    <w:rsid w:val="00402B66"/>
    <w:rsid w:val="00403955"/>
    <w:rsid w:val="00403E6E"/>
    <w:rsid w:val="00406D54"/>
    <w:rsid w:val="00410AA1"/>
    <w:rsid w:val="00413767"/>
    <w:rsid w:val="00413F89"/>
    <w:rsid w:val="00414D6F"/>
    <w:rsid w:val="00417A43"/>
    <w:rsid w:val="00417F57"/>
    <w:rsid w:val="0042038E"/>
    <w:rsid w:val="00424E76"/>
    <w:rsid w:val="004309B6"/>
    <w:rsid w:val="00431B23"/>
    <w:rsid w:val="00432947"/>
    <w:rsid w:val="00434313"/>
    <w:rsid w:val="00434670"/>
    <w:rsid w:val="00436264"/>
    <w:rsid w:val="00437B0A"/>
    <w:rsid w:val="00440759"/>
    <w:rsid w:val="00440AEB"/>
    <w:rsid w:val="00442B5D"/>
    <w:rsid w:val="00442B83"/>
    <w:rsid w:val="00444211"/>
    <w:rsid w:val="00444494"/>
    <w:rsid w:val="00444592"/>
    <w:rsid w:val="004445BE"/>
    <w:rsid w:val="00447FB4"/>
    <w:rsid w:val="00452BDB"/>
    <w:rsid w:val="00453E92"/>
    <w:rsid w:val="0045574A"/>
    <w:rsid w:val="00456D3B"/>
    <w:rsid w:val="00456F43"/>
    <w:rsid w:val="004579C5"/>
    <w:rsid w:val="00460524"/>
    <w:rsid w:val="0046151E"/>
    <w:rsid w:val="0046457F"/>
    <w:rsid w:val="0046520D"/>
    <w:rsid w:val="00465F46"/>
    <w:rsid w:val="0046655B"/>
    <w:rsid w:val="00467673"/>
    <w:rsid w:val="0047449C"/>
    <w:rsid w:val="00475E32"/>
    <w:rsid w:val="004768DE"/>
    <w:rsid w:val="00476A37"/>
    <w:rsid w:val="0048025C"/>
    <w:rsid w:val="00481D88"/>
    <w:rsid w:val="00482D38"/>
    <w:rsid w:val="00483D7E"/>
    <w:rsid w:val="00484B3A"/>
    <w:rsid w:val="00486E40"/>
    <w:rsid w:val="00490BD5"/>
    <w:rsid w:val="00491045"/>
    <w:rsid w:val="00491E3A"/>
    <w:rsid w:val="004936DB"/>
    <w:rsid w:val="0049411E"/>
    <w:rsid w:val="0049446F"/>
    <w:rsid w:val="0049578D"/>
    <w:rsid w:val="004957FB"/>
    <w:rsid w:val="00496916"/>
    <w:rsid w:val="004A0D53"/>
    <w:rsid w:val="004A5DBE"/>
    <w:rsid w:val="004A65E4"/>
    <w:rsid w:val="004A76D5"/>
    <w:rsid w:val="004B3E6C"/>
    <w:rsid w:val="004B7944"/>
    <w:rsid w:val="004C1486"/>
    <w:rsid w:val="004C4AED"/>
    <w:rsid w:val="004D0511"/>
    <w:rsid w:val="004D1394"/>
    <w:rsid w:val="004D24D5"/>
    <w:rsid w:val="004D284F"/>
    <w:rsid w:val="004D2CE5"/>
    <w:rsid w:val="004D3943"/>
    <w:rsid w:val="004D3D80"/>
    <w:rsid w:val="004D44D5"/>
    <w:rsid w:val="004D4E54"/>
    <w:rsid w:val="004D5E08"/>
    <w:rsid w:val="004D6F91"/>
    <w:rsid w:val="004D7840"/>
    <w:rsid w:val="004E263B"/>
    <w:rsid w:val="004E32F0"/>
    <w:rsid w:val="004E40FF"/>
    <w:rsid w:val="004E5E43"/>
    <w:rsid w:val="004E75E5"/>
    <w:rsid w:val="004F1061"/>
    <w:rsid w:val="004F2FA9"/>
    <w:rsid w:val="004F44BE"/>
    <w:rsid w:val="004F531C"/>
    <w:rsid w:val="005005C9"/>
    <w:rsid w:val="00500AEB"/>
    <w:rsid w:val="00504937"/>
    <w:rsid w:val="00507028"/>
    <w:rsid w:val="00510205"/>
    <w:rsid w:val="0051022D"/>
    <w:rsid w:val="00510BE0"/>
    <w:rsid w:val="00511550"/>
    <w:rsid w:val="00511AF6"/>
    <w:rsid w:val="00512A63"/>
    <w:rsid w:val="00513648"/>
    <w:rsid w:val="00515176"/>
    <w:rsid w:val="005203AB"/>
    <w:rsid w:val="00521F18"/>
    <w:rsid w:val="005222CE"/>
    <w:rsid w:val="005255C5"/>
    <w:rsid w:val="00526F8A"/>
    <w:rsid w:val="005302B1"/>
    <w:rsid w:val="0053087B"/>
    <w:rsid w:val="005308AC"/>
    <w:rsid w:val="005310C8"/>
    <w:rsid w:val="00531234"/>
    <w:rsid w:val="005319E0"/>
    <w:rsid w:val="00532E15"/>
    <w:rsid w:val="00533F44"/>
    <w:rsid w:val="00535B05"/>
    <w:rsid w:val="00535B14"/>
    <w:rsid w:val="00536213"/>
    <w:rsid w:val="0054085B"/>
    <w:rsid w:val="00542FCE"/>
    <w:rsid w:val="005467C7"/>
    <w:rsid w:val="005501EF"/>
    <w:rsid w:val="00550C7C"/>
    <w:rsid w:val="00551EF8"/>
    <w:rsid w:val="0055476A"/>
    <w:rsid w:val="005547AF"/>
    <w:rsid w:val="0055491D"/>
    <w:rsid w:val="00554B22"/>
    <w:rsid w:val="00555DE9"/>
    <w:rsid w:val="00556358"/>
    <w:rsid w:val="005570BA"/>
    <w:rsid w:val="00562D4E"/>
    <w:rsid w:val="00562E65"/>
    <w:rsid w:val="005631ED"/>
    <w:rsid w:val="005632AA"/>
    <w:rsid w:val="0056409C"/>
    <w:rsid w:val="005641A8"/>
    <w:rsid w:val="00564E8F"/>
    <w:rsid w:val="00566DAB"/>
    <w:rsid w:val="00570E77"/>
    <w:rsid w:val="00573C72"/>
    <w:rsid w:val="00574BD2"/>
    <w:rsid w:val="00574C95"/>
    <w:rsid w:val="00574FB3"/>
    <w:rsid w:val="00576395"/>
    <w:rsid w:val="00581C7E"/>
    <w:rsid w:val="00582449"/>
    <w:rsid w:val="005829F3"/>
    <w:rsid w:val="00582ED4"/>
    <w:rsid w:val="00582FC4"/>
    <w:rsid w:val="0058346E"/>
    <w:rsid w:val="00583F62"/>
    <w:rsid w:val="00584E26"/>
    <w:rsid w:val="0058519D"/>
    <w:rsid w:val="00587762"/>
    <w:rsid w:val="00594991"/>
    <w:rsid w:val="005959BA"/>
    <w:rsid w:val="0059716A"/>
    <w:rsid w:val="00597A7F"/>
    <w:rsid w:val="005A0B8C"/>
    <w:rsid w:val="005A2409"/>
    <w:rsid w:val="005A3A79"/>
    <w:rsid w:val="005A52C8"/>
    <w:rsid w:val="005A689B"/>
    <w:rsid w:val="005A6A94"/>
    <w:rsid w:val="005A6D29"/>
    <w:rsid w:val="005A75CC"/>
    <w:rsid w:val="005B066D"/>
    <w:rsid w:val="005B0EA5"/>
    <w:rsid w:val="005B1DC7"/>
    <w:rsid w:val="005B2102"/>
    <w:rsid w:val="005B2D97"/>
    <w:rsid w:val="005B2FEC"/>
    <w:rsid w:val="005B7585"/>
    <w:rsid w:val="005B775D"/>
    <w:rsid w:val="005C13DD"/>
    <w:rsid w:val="005C4A8E"/>
    <w:rsid w:val="005C4C98"/>
    <w:rsid w:val="005C630E"/>
    <w:rsid w:val="005C7B62"/>
    <w:rsid w:val="005D23A2"/>
    <w:rsid w:val="005D2833"/>
    <w:rsid w:val="005D662C"/>
    <w:rsid w:val="005E0186"/>
    <w:rsid w:val="005E20D0"/>
    <w:rsid w:val="005E339C"/>
    <w:rsid w:val="005E4849"/>
    <w:rsid w:val="005E70E7"/>
    <w:rsid w:val="005E7923"/>
    <w:rsid w:val="005E7DAF"/>
    <w:rsid w:val="005F2129"/>
    <w:rsid w:val="005F6045"/>
    <w:rsid w:val="005F6223"/>
    <w:rsid w:val="005F6B3B"/>
    <w:rsid w:val="005F75A8"/>
    <w:rsid w:val="005F7A65"/>
    <w:rsid w:val="005F7C6F"/>
    <w:rsid w:val="00600A0F"/>
    <w:rsid w:val="0060170A"/>
    <w:rsid w:val="0060349F"/>
    <w:rsid w:val="00603A7A"/>
    <w:rsid w:val="006053B6"/>
    <w:rsid w:val="00605766"/>
    <w:rsid w:val="0060652A"/>
    <w:rsid w:val="0061053F"/>
    <w:rsid w:val="0061061E"/>
    <w:rsid w:val="006171A6"/>
    <w:rsid w:val="00620070"/>
    <w:rsid w:val="006205EB"/>
    <w:rsid w:val="00620942"/>
    <w:rsid w:val="00621C42"/>
    <w:rsid w:val="00621CCB"/>
    <w:rsid w:val="00626987"/>
    <w:rsid w:val="006273E6"/>
    <w:rsid w:val="00627B61"/>
    <w:rsid w:val="00627E80"/>
    <w:rsid w:val="0063072C"/>
    <w:rsid w:val="00631165"/>
    <w:rsid w:val="006331FE"/>
    <w:rsid w:val="006339CA"/>
    <w:rsid w:val="006347AD"/>
    <w:rsid w:val="006347EE"/>
    <w:rsid w:val="0063509F"/>
    <w:rsid w:val="0063542C"/>
    <w:rsid w:val="00636A5E"/>
    <w:rsid w:val="006404AD"/>
    <w:rsid w:val="00641577"/>
    <w:rsid w:val="0064177A"/>
    <w:rsid w:val="00642044"/>
    <w:rsid w:val="00642D59"/>
    <w:rsid w:val="00643777"/>
    <w:rsid w:val="00644628"/>
    <w:rsid w:val="00644CF4"/>
    <w:rsid w:val="00647E27"/>
    <w:rsid w:val="00651F28"/>
    <w:rsid w:val="00653468"/>
    <w:rsid w:val="00654046"/>
    <w:rsid w:val="006574D6"/>
    <w:rsid w:val="0065779A"/>
    <w:rsid w:val="00663C5A"/>
    <w:rsid w:val="00664690"/>
    <w:rsid w:val="00664C74"/>
    <w:rsid w:val="00665CF9"/>
    <w:rsid w:val="00666041"/>
    <w:rsid w:val="0066672F"/>
    <w:rsid w:val="00670F9E"/>
    <w:rsid w:val="00671AC5"/>
    <w:rsid w:val="00671DEA"/>
    <w:rsid w:val="0067289D"/>
    <w:rsid w:val="006755DB"/>
    <w:rsid w:val="00675F06"/>
    <w:rsid w:val="00676823"/>
    <w:rsid w:val="00681115"/>
    <w:rsid w:val="00683436"/>
    <w:rsid w:val="00683585"/>
    <w:rsid w:val="006845FA"/>
    <w:rsid w:val="006863D5"/>
    <w:rsid w:val="006869AE"/>
    <w:rsid w:val="006871F1"/>
    <w:rsid w:val="00691C6D"/>
    <w:rsid w:val="00692A3D"/>
    <w:rsid w:val="00693100"/>
    <w:rsid w:val="00694080"/>
    <w:rsid w:val="006941C5"/>
    <w:rsid w:val="00694D09"/>
    <w:rsid w:val="006950D0"/>
    <w:rsid w:val="00696145"/>
    <w:rsid w:val="00696697"/>
    <w:rsid w:val="00697B5C"/>
    <w:rsid w:val="00697B78"/>
    <w:rsid w:val="006A0EC1"/>
    <w:rsid w:val="006A16D4"/>
    <w:rsid w:val="006A25E6"/>
    <w:rsid w:val="006A7179"/>
    <w:rsid w:val="006B04FF"/>
    <w:rsid w:val="006B1F0D"/>
    <w:rsid w:val="006B26A3"/>
    <w:rsid w:val="006B2B5F"/>
    <w:rsid w:val="006B3052"/>
    <w:rsid w:val="006B5A98"/>
    <w:rsid w:val="006B66E3"/>
    <w:rsid w:val="006B6C22"/>
    <w:rsid w:val="006B7363"/>
    <w:rsid w:val="006C2992"/>
    <w:rsid w:val="006C3215"/>
    <w:rsid w:val="006C4724"/>
    <w:rsid w:val="006C480E"/>
    <w:rsid w:val="006C5225"/>
    <w:rsid w:val="006C7DD0"/>
    <w:rsid w:val="006D0BE6"/>
    <w:rsid w:val="006D1963"/>
    <w:rsid w:val="006D2130"/>
    <w:rsid w:val="006D2A19"/>
    <w:rsid w:val="006D3EE0"/>
    <w:rsid w:val="006D5A72"/>
    <w:rsid w:val="006D629B"/>
    <w:rsid w:val="006E1880"/>
    <w:rsid w:val="006E198C"/>
    <w:rsid w:val="006E1BA8"/>
    <w:rsid w:val="006E5080"/>
    <w:rsid w:val="006E5424"/>
    <w:rsid w:val="006E55D5"/>
    <w:rsid w:val="006E5BFE"/>
    <w:rsid w:val="006E6CA7"/>
    <w:rsid w:val="006E73D2"/>
    <w:rsid w:val="006E7D36"/>
    <w:rsid w:val="006F031B"/>
    <w:rsid w:val="006F04DF"/>
    <w:rsid w:val="006F0B11"/>
    <w:rsid w:val="006F417A"/>
    <w:rsid w:val="006F4507"/>
    <w:rsid w:val="006F57FC"/>
    <w:rsid w:val="006F5AF9"/>
    <w:rsid w:val="006F64A0"/>
    <w:rsid w:val="006F6C40"/>
    <w:rsid w:val="006F6DF7"/>
    <w:rsid w:val="007016D8"/>
    <w:rsid w:val="00701880"/>
    <w:rsid w:val="00701D8E"/>
    <w:rsid w:val="00704DBF"/>
    <w:rsid w:val="007050BA"/>
    <w:rsid w:val="0070760B"/>
    <w:rsid w:val="0071187D"/>
    <w:rsid w:val="00713F54"/>
    <w:rsid w:val="00717A94"/>
    <w:rsid w:val="007232A5"/>
    <w:rsid w:val="0072474B"/>
    <w:rsid w:val="00726B3B"/>
    <w:rsid w:val="00726F5A"/>
    <w:rsid w:val="00730789"/>
    <w:rsid w:val="00732580"/>
    <w:rsid w:val="00732B6F"/>
    <w:rsid w:val="00732C0C"/>
    <w:rsid w:val="007353F9"/>
    <w:rsid w:val="00735B41"/>
    <w:rsid w:val="007405AA"/>
    <w:rsid w:val="00740827"/>
    <w:rsid w:val="00740C71"/>
    <w:rsid w:val="0074151C"/>
    <w:rsid w:val="00741CE5"/>
    <w:rsid w:val="00743499"/>
    <w:rsid w:val="00746927"/>
    <w:rsid w:val="00750A27"/>
    <w:rsid w:val="00750BB6"/>
    <w:rsid w:val="0075253A"/>
    <w:rsid w:val="00754E19"/>
    <w:rsid w:val="00755AA9"/>
    <w:rsid w:val="0075757B"/>
    <w:rsid w:val="00763715"/>
    <w:rsid w:val="00774A37"/>
    <w:rsid w:val="00777100"/>
    <w:rsid w:val="007778CF"/>
    <w:rsid w:val="00777DAC"/>
    <w:rsid w:val="0078095D"/>
    <w:rsid w:val="00780FBA"/>
    <w:rsid w:val="0078157F"/>
    <w:rsid w:val="00782045"/>
    <w:rsid w:val="007822FB"/>
    <w:rsid w:val="007833CB"/>
    <w:rsid w:val="00784CF9"/>
    <w:rsid w:val="00790BE8"/>
    <w:rsid w:val="00791FF1"/>
    <w:rsid w:val="00794762"/>
    <w:rsid w:val="00794B17"/>
    <w:rsid w:val="007A0E5C"/>
    <w:rsid w:val="007A1230"/>
    <w:rsid w:val="007A1D39"/>
    <w:rsid w:val="007A3A3E"/>
    <w:rsid w:val="007A44D0"/>
    <w:rsid w:val="007A6D22"/>
    <w:rsid w:val="007A70B1"/>
    <w:rsid w:val="007A7D82"/>
    <w:rsid w:val="007B209B"/>
    <w:rsid w:val="007B275D"/>
    <w:rsid w:val="007B2E5A"/>
    <w:rsid w:val="007B303B"/>
    <w:rsid w:val="007B3B1C"/>
    <w:rsid w:val="007B5AA3"/>
    <w:rsid w:val="007B6E53"/>
    <w:rsid w:val="007C0D4C"/>
    <w:rsid w:val="007C4369"/>
    <w:rsid w:val="007C4962"/>
    <w:rsid w:val="007C4996"/>
    <w:rsid w:val="007C57A8"/>
    <w:rsid w:val="007C5DDC"/>
    <w:rsid w:val="007D2528"/>
    <w:rsid w:val="007D4821"/>
    <w:rsid w:val="007D58B4"/>
    <w:rsid w:val="007D69CD"/>
    <w:rsid w:val="007D6FED"/>
    <w:rsid w:val="007D7791"/>
    <w:rsid w:val="007D7C74"/>
    <w:rsid w:val="007E15AF"/>
    <w:rsid w:val="007E32CB"/>
    <w:rsid w:val="007E44E6"/>
    <w:rsid w:val="007E48AD"/>
    <w:rsid w:val="007E4EDC"/>
    <w:rsid w:val="007E4F36"/>
    <w:rsid w:val="007E7009"/>
    <w:rsid w:val="007E7499"/>
    <w:rsid w:val="007E7A97"/>
    <w:rsid w:val="007F031D"/>
    <w:rsid w:val="007F0398"/>
    <w:rsid w:val="007F1386"/>
    <w:rsid w:val="007F1908"/>
    <w:rsid w:val="007F1C02"/>
    <w:rsid w:val="007F244D"/>
    <w:rsid w:val="007F2E45"/>
    <w:rsid w:val="007F31DE"/>
    <w:rsid w:val="007F4051"/>
    <w:rsid w:val="007F426B"/>
    <w:rsid w:val="007F4A9D"/>
    <w:rsid w:val="007F7F75"/>
    <w:rsid w:val="008004EE"/>
    <w:rsid w:val="00801F26"/>
    <w:rsid w:val="008023BD"/>
    <w:rsid w:val="008033ED"/>
    <w:rsid w:val="00805370"/>
    <w:rsid w:val="00805860"/>
    <w:rsid w:val="00806FA0"/>
    <w:rsid w:val="008077F7"/>
    <w:rsid w:val="00810432"/>
    <w:rsid w:val="00810794"/>
    <w:rsid w:val="00811421"/>
    <w:rsid w:val="008116A7"/>
    <w:rsid w:val="00812156"/>
    <w:rsid w:val="00812477"/>
    <w:rsid w:val="00813221"/>
    <w:rsid w:val="008136D8"/>
    <w:rsid w:val="00814189"/>
    <w:rsid w:val="00814DEB"/>
    <w:rsid w:val="00815A94"/>
    <w:rsid w:val="008161FC"/>
    <w:rsid w:val="00820504"/>
    <w:rsid w:val="008208A7"/>
    <w:rsid w:val="00821EA8"/>
    <w:rsid w:val="0082235F"/>
    <w:rsid w:val="008248EE"/>
    <w:rsid w:val="00824CB2"/>
    <w:rsid w:val="00825783"/>
    <w:rsid w:val="008262B7"/>
    <w:rsid w:val="0082637F"/>
    <w:rsid w:val="008268F9"/>
    <w:rsid w:val="008273FA"/>
    <w:rsid w:val="00827A70"/>
    <w:rsid w:val="00832C3F"/>
    <w:rsid w:val="00832D34"/>
    <w:rsid w:val="008330F5"/>
    <w:rsid w:val="008333D8"/>
    <w:rsid w:val="008349BD"/>
    <w:rsid w:val="00836768"/>
    <w:rsid w:val="00836849"/>
    <w:rsid w:val="00836CE2"/>
    <w:rsid w:val="008414A8"/>
    <w:rsid w:val="00841DE5"/>
    <w:rsid w:val="008423B7"/>
    <w:rsid w:val="00842C7C"/>
    <w:rsid w:val="00842D0D"/>
    <w:rsid w:val="00842DE6"/>
    <w:rsid w:val="00844BE5"/>
    <w:rsid w:val="0084519D"/>
    <w:rsid w:val="00846A1A"/>
    <w:rsid w:val="008516D6"/>
    <w:rsid w:val="008527DA"/>
    <w:rsid w:val="00855278"/>
    <w:rsid w:val="008576D4"/>
    <w:rsid w:val="00857990"/>
    <w:rsid w:val="008601CF"/>
    <w:rsid w:val="00861527"/>
    <w:rsid w:val="00861712"/>
    <w:rsid w:val="00862B47"/>
    <w:rsid w:val="00862C1A"/>
    <w:rsid w:val="008630DF"/>
    <w:rsid w:val="008651F9"/>
    <w:rsid w:val="00865325"/>
    <w:rsid w:val="008661CC"/>
    <w:rsid w:val="00870284"/>
    <w:rsid w:val="00874027"/>
    <w:rsid w:val="0087462B"/>
    <w:rsid w:val="008748DB"/>
    <w:rsid w:val="00875D87"/>
    <w:rsid w:val="008763B3"/>
    <w:rsid w:val="008765DE"/>
    <w:rsid w:val="00876FFB"/>
    <w:rsid w:val="00877F3B"/>
    <w:rsid w:val="00880D73"/>
    <w:rsid w:val="00881EFF"/>
    <w:rsid w:val="008847CD"/>
    <w:rsid w:val="00891B24"/>
    <w:rsid w:val="0089219B"/>
    <w:rsid w:val="008A302A"/>
    <w:rsid w:val="008A3EEE"/>
    <w:rsid w:val="008A4D40"/>
    <w:rsid w:val="008A51D9"/>
    <w:rsid w:val="008A5A0A"/>
    <w:rsid w:val="008A708E"/>
    <w:rsid w:val="008A77E3"/>
    <w:rsid w:val="008B15FA"/>
    <w:rsid w:val="008B17F4"/>
    <w:rsid w:val="008B29A5"/>
    <w:rsid w:val="008B318D"/>
    <w:rsid w:val="008B3C53"/>
    <w:rsid w:val="008B3D16"/>
    <w:rsid w:val="008C0532"/>
    <w:rsid w:val="008C0B5B"/>
    <w:rsid w:val="008C114C"/>
    <w:rsid w:val="008C27DA"/>
    <w:rsid w:val="008C4FCE"/>
    <w:rsid w:val="008C522A"/>
    <w:rsid w:val="008C6022"/>
    <w:rsid w:val="008D08D4"/>
    <w:rsid w:val="008D19BF"/>
    <w:rsid w:val="008D3115"/>
    <w:rsid w:val="008D524C"/>
    <w:rsid w:val="008D5EA5"/>
    <w:rsid w:val="008D6691"/>
    <w:rsid w:val="008D76AC"/>
    <w:rsid w:val="008D799D"/>
    <w:rsid w:val="008E0DF1"/>
    <w:rsid w:val="008E1730"/>
    <w:rsid w:val="008E3142"/>
    <w:rsid w:val="008E5CCC"/>
    <w:rsid w:val="008E5DA7"/>
    <w:rsid w:val="008E6AF9"/>
    <w:rsid w:val="008E722E"/>
    <w:rsid w:val="008F2130"/>
    <w:rsid w:val="008F26EE"/>
    <w:rsid w:val="008F4B48"/>
    <w:rsid w:val="008F4CCF"/>
    <w:rsid w:val="008F535D"/>
    <w:rsid w:val="008F5AD5"/>
    <w:rsid w:val="008F7317"/>
    <w:rsid w:val="009000D8"/>
    <w:rsid w:val="00900450"/>
    <w:rsid w:val="00902003"/>
    <w:rsid w:val="00903256"/>
    <w:rsid w:val="00905735"/>
    <w:rsid w:val="0090619B"/>
    <w:rsid w:val="00906CBF"/>
    <w:rsid w:val="0090740C"/>
    <w:rsid w:val="009110D1"/>
    <w:rsid w:val="00912BC6"/>
    <w:rsid w:val="00913200"/>
    <w:rsid w:val="009145B7"/>
    <w:rsid w:val="00915F8D"/>
    <w:rsid w:val="00916C99"/>
    <w:rsid w:val="00917ADE"/>
    <w:rsid w:val="00917DBD"/>
    <w:rsid w:val="00921E62"/>
    <w:rsid w:val="009230E2"/>
    <w:rsid w:val="00926353"/>
    <w:rsid w:val="00926F33"/>
    <w:rsid w:val="00927644"/>
    <w:rsid w:val="00930029"/>
    <w:rsid w:val="00930425"/>
    <w:rsid w:val="00930FA5"/>
    <w:rsid w:val="0093112A"/>
    <w:rsid w:val="00931BBA"/>
    <w:rsid w:val="009324E9"/>
    <w:rsid w:val="00933199"/>
    <w:rsid w:val="00936354"/>
    <w:rsid w:val="00936467"/>
    <w:rsid w:val="009376A0"/>
    <w:rsid w:val="00940811"/>
    <w:rsid w:val="00941781"/>
    <w:rsid w:val="00942EA9"/>
    <w:rsid w:val="00942F13"/>
    <w:rsid w:val="00945343"/>
    <w:rsid w:val="0094600E"/>
    <w:rsid w:val="009467B4"/>
    <w:rsid w:val="00947C7F"/>
    <w:rsid w:val="00950081"/>
    <w:rsid w:val="00951D67"/>
    <w:rsid w:val="00953CD9"/>
    <w:rsid w:val="009564AC"/>
    <w:rsid w:val="009627C8"/>
    <w:rsid w:val="00965082"/>
    <w:rsid w:val="00965E75"/>
    <w:rsid w:val="009709E6"/>
    <w:rsid w:val="00971FAA"/>
    <w:rsid w:val="009723D3"/>
    <w:rsid w:val="00972D1C"/>
    <w:rsid w:val="00973C62"/>
    <w:rsid w:val="009742BF"/>
    <w:rsid w:val="00976B24"/>
    <w:rsid w:val="00976F99"/>
    <w:rsid w:val="0098020D"/>
    <w:rsid w:val="00980C2E"/>
    <w:rsid w:val="009813D2"/>
    <w:rsid w:val="00984EFD"/>
    <w:rsid w:val="00985183"/>
    <w:rsid w:val="0098532A"/>
    <w:rsid w:val="00986406"/>
    <w:rsid w:val="009866AB"/>
    <w:rsid w:val="00986A5A"/>
    <w:rsid w:val="00990C9A"/>
    <w:rsid w:val="00991E94"/>
    <w:rsid w:val="00992DA2"/>
    <w:rsid w:val="00993784"/>
    <w:rsid w:val="00993EDE"/>
    <w:rsid w:val="009949CD"/>
    <w:rsid w:val="009955EE"/>
    <w:rsid w:val="00995AAB"/>
    <w:rsid w:val="00995ABD"/>
    <w:rsid w:val="00996EAC"/>
    <w:rsid w:val="009971A0"/>
    <w:rsid w:val="009A1A7D"/>
    <w:rsid w:val="009A23B7"/>
    <w:rsid w:val="009A4A45"/>
    <w:rsid w:val="009A602F"/>
    <w:rsid w:val="009A6133"/>
    <w:rsid w:val="009A7C87"/>
    <w:rsid w:val="009B2917"/>
    <w:rsid w:val="009B299F"/>
    <w:rsid w:val="009B474C"/>
    <w:rsid w:val="009B679E"/>
    <w:rsid w:val="009C1249"/>
    <w:rsid w:val="009C2A6F"/>
    <w:rsid w:val="009C40F0"/>
    <w:rsid w:val="009D1532"/>
    <w:rsid w:val="009D2013"/>
    <w:rsid w:val="009D2AFB"/>
    <w:rsid w:val="009D3D96"/>
    <w:rsid w:val="009D4D95"/>
    <w:rsid w:val="009E067F"/>
    <w:rsid w:val="009E099C"/>
    <w:rsid w:val="009E1606"/>
    <w:rsid w:val="009E1E8C"/>
    <w:rsid w:val="009E22E6"/>
    <w:rsid w:val="009E28B2"/>
    <w:rsid w:val="009E314A"/>
    <w:rsid w:val="009E36E3"/>
    <w:rsid w:val="009E63ED"/>
    <w:rsid w:val="009E67A1"/>
    <w:rsid w:val="009E7DFB"/>
    <w:rsid w:val="009F02D5"/>
    <w:rsid w:val="009F0F43"/>
    <w:rsid w:val="009F6800"/>
    <w:rsid w:val="009F79AD"/>
    <w:rsid w:val="009F7EBD"/>
    <w:rsid w:val="00A00A15"/>
    <w:rsid w:val="00A02038"/>
    <w:rsid w:val="00A02D1B"/>
    <w:rsid w:val="00A03ABC"/>
    <w:rsid w:val="00A064C6"/>
    <w:rsid w:val="00A0770B"/>
    <w:rsid w:val="00A078BF"/>
    <w:rsid w:val="00A14E4F"/>
    <w:rsid w:val="00A201EF"/>
    <w:rsid w:val="00A2125C"/>
    <w:rsid w:val="00A215F6"/>
    <w:rsid w:val="00A23060"/>
    <w:rsid w:val="00A236B3"/>
    <w:rsid w:val="00A25FCD"/>
    <w:rsid w:val="00A32633"/>
    <w:rsid w:val="00A34D95"/>
    <w:rsid w:val="00A35519"/>
    <w:rsid w:val="00A361B2"/>
    <w:rsid w:val="00A40E7A"/>
    <w:rsid w:val="00A42AAB"/>
    <w:rsid w:val="00A4330B"/>
    <w:rsid w:val="00A43E73"/>
    <w:rsid w:val="00A44626"/>
    <w:rsid w:val="00A460E2"/>
    <w:rsid w:val="00A46840"/>
    <w:rsid w:val="00A47EFE"/>
    <w:rsid w:val="00A508C4"/>
    <w:rsid w:val="00A50D8E"/>
    <w:rsid w:val="00A52E7E"/>
    <w:rsid w:val="00A54C2C"/>
    <w:rsid w:val="00A54D7B"/>
    <w:rsid w:val="00A55E11"/>
    <w:rsid w:val="00A55E42"/>
    <w:rsid w:val="00A56CCE"/>
    <w:rsid w:val="00A56E00"/>
    <w:rsid w:val="00A5794D"/>
    <w:rsid w:val="00A618B0"/>
    <w:rsid w:val="00A672A8"/>
    <w:rsid w:val="00A704D7"/>
    <w:rsid w:val="00A71685"/>
    <w:rsid w:val="00A72269"/>
    <w:rsid w:val="00A736D1"/>
    <w:rsid w:val="00A74DFC"/>
    <w:rsid w:val="00A750E9"/>
    <w:rsid w:val="00A80385"/>
    <w:rsid w:val="00A80603"/>
    <w:rsid w:val="00A8146E"/>
    <w:rsid w:val="00A841CB"/>
    <w:rsid w:val="00A86691"/>
    <w:rsid w:val="00A87143"/>
    <w:rsid w:val="00A879C0"/>
    <w:rsid w:val="00A87CC1"/>
    <w:rsid w:val="00A924BC"/>
    <w:rsid w:val="00A95771"/>
    <w:rsid w:val="00A95E73"/>
    <w:rsid w:val="00A96044"/>
    <w:rsid w:val="00A96255"/>
    <w:rsid w:val="00A9793D"/>
    <w:rsid w:val="00AA07E3"/>
    <w:rsid w:val="00AA0FC2"/>
    <w:rsid w:val="00AA12CA"/>
    <w:rsid w:val="00AA2694"/>
    <w:rsid w:val="00AA52A2"/>
    <w:rsid w:val="00AA599C"/>
    <w:rsid w:val="00AB15D3"/>
    <w:rsid w:val="00AB16DA"/>
    <w:rsid w:val="00AB36CF"/>
    <w:rsid w:val="00AB5347"/>
    <w:rsid w:val="00AB548D"/>
    <w:rsid w:val="00AB5704"/>
    <w:rsid w:val="00AC1608"/>
    <w:rsid w:val="00AC320B"/>
    <w:rsid w:val="00AC3C9C"/>
    <w:rsid w:val="00AC3CAE"/>
    <w:rsid w:val="00AC42D9"/>
    <w:rsid w:val="00AC61E2"/>
    <w:rsid w:val="00AC67D3"/>
    <w:rsid w:val="00AC6A97"/>
    <w:rsid w:val="00AD1760"/>
    <w:rsid w:val="00AD210E"/>
    <w:rsid w:val="00AD3C0F"/>
    <w:rsid w:val="00AD7649"/>
    <w:rsid w:val="00AD7ADD"/>
    <w:rsid w:val="00AE0208"/>
    <w:rsid w:val="00AE090B"/>
    <w:rsid w:val="00AE0C2D"/>
    <w:rsid w:val="00AE1322"/>
    <w:rsid w:val="00AE3388"/>
    <w:rsid w:val="00AE51B1"/>
    <w:rsid w:val="00AF1A26"/>
    <w:rsid w:val="00AF26DD"/>
    <w:rsid w:val="00AF27E9"/>
    <w:rsid w:val="00AF2C0F"/>
    <w:rsid w:val="00AF35E5"/>
    <w:rsid w:val="00AF4D25"/>
    <w:rsid w:val="00AF6CCB"/>
    <w:rsid w:val="00AF72E6"/>
    <w:rsid w:val="00B00363"/>
    <w:rsid w:val="00B01601"/>
    <w:rsid w:val="00B0180D"/>
    <w:rsid w:val="00B035D4"/>
    <w:rsid w:val="00B04157"/>
    <w:rsid w:val="00B0752E"/>
    <w:rsid w:val="00B11119"/>
    <w:rsid w:val="00B123B1"/>
    <w:rsid w:val="00B15DE3"/>
    <w:rsid w:val="00B15FB5"/>
    <w:rsid w:val="00B25010"/>
    <w:rsid w:val="00B2538A"/>
    <w:rsid w:val="00B32249"/>
    <w:rsid w:val="00B36320"/>
    <w:rsid w:val="00B37654"/>
    <w:rsid w:val="00B40DA1"/>
    <w:rsid w:val="00B40DD8"/>
    <w:rsid w:val="00B415A1"/>
    <w:rsid w:val="00B41F1C"/>
    <w:rsid w:val="00B4476D"/>
    <w:rsid w:val="00B46004"/>
    <w:rsid w:val="00B4600A"/>
    <w:rsid w:val="00B4629A"/>
    <w:rsid w:val="00B50C5B"/>
    <w:rsid w:val="00B5403B"/>
    <w:rsid w:val="00B60AF4"/>
    <w:rsid w:val="00B62757"/>
    <w:rsid w:val="00B62C0B"/>
    <w:rsid w:val="00B65B79"/>
    <w:rsid w:val="00B67A28"/>
    <w:rsid w:val="00B7076F"/>
    <w:rsid w:val="00B71887"/>
    <w:rsid w:val="00B722E8"/>
    <w:rsid w:val="00B7333D"/>
    <w:rsid w:val="00B76FF3"/>
    <w:rsid w:val="00B817B1"/>
    <w:rsid w:val="00B81EA3"/>
    <w:rsid w:val="00B82604"/>
    <w:rsid w:val="00B85077"/>
    <w:rsid w:val="00B86BDD"/>
    <w:rsid w:val="00B86C44"/>
    <w:rsid w:val="00B86D18"/>
    <w:rsid w:val="00B90347"/>
    <w:rsid w:val="00B91B1E"/>
    <w:rsid w:val="00B92300"/>
    <w:rsid w:val="00B925D2"/>
    <w:rsid w:val="00B94A47"/>
    <w:rsid w:val="00B9742C"/>
    <w:rsid w:val="00B97C79"/>
    <w:rsid w:val="00BA0CC8"/>
    <w:rsid w:val="00BA170C"/>
    <w:rsid w:val="00BA1E44"/>
    <w:rsid w:val="00BA2582"/>
    <w:rsid w:val="00BA3214"/>
    <w:rsid w:val="00BA3636"/>
    <w:rsid w:val="00BA40DD"/>
    <w:rsid w:val="00BA41B5"/>
    <w:rsid w:val="00BA4646"/>
    <w:rsid w:val="00BA498D"/>
    <w:rsid w:val="00BA6102"/>
    <w:rsid w:val="00BA74CA"/>
    <w:rsid w:val="00BB1C2B"/>
    <w:rsid w:val="00BB3452"/>
    <w:rsid w:val="00BB43EC"/>
    <w:rsid w:val="00BB67B2"/>
    <w:rsid w:val="00BC1B80"/>
    <w:rsid w:val="00BC2504"/>
    <w:rsid w:val="00BC2CBC"/>
    <w:rsid w:val="00BC32E9"/>
    <w:rsid w:val="00BC3825"/>
    <w:rsid w:val="00BC3B5C"/>
    <w:rsid w:val="00BC40EF"/>
    <w:rsid w:val="00BC45FB"/>
    <w:rsid w:val="00BC53D9"/>
    <w:rsid w:val="00BC6861"/>
    <w:rsid w:val="00BD05D1"/>
    <w:rsid w:val="00BD0B0E"/>
    <w:rsid w:val="00BD2637"/>
    <w:rsid w:val="00BD2726"/>
    <w:rsid w:val="00BD2C9A"/>
    <w:rsid w:val="00BD40EF"/>
    <w:rsid w:val="00BD4BF4"/>
    <w:rsid w:val="00BD54FF"/>
    <w:rsid w:val="00BD5A2B"/>
    <w:rsid w:val="00BE0D16"/>
    <w:rsid w:val="00BE2210"/>
    <w:rsid w:val="00BE2283"/>
    <w:rsid w:val="00BE2735"/>
    <w:rsid w:val="00BE2C7F"/>
    <w:rsid w:val="00BE323B"/>
    <w:rsid w:val="00BE3A86"/>
    <w:rsid w:val="00BE3D27"/>
    <w:rsid w:val="00BE3F08"/>
    <w:rsid w:val="00BE54CA"/>
    <w:rsid w:val="00BE6909"/>
    <w:rsid w:val="00BF15F6"/>
    <w:rsid w:val="00BF4FF8"/>
    <w:rsid w:val="00BF5EBB"/>
    <w:rsid w:val="00BF6B5B"/>
    <w:rsid w:val="00BF6BA1"/>
    <w:rsid w:val="00BF7BF2"/>
    <w:rsid w:val="00BF7D91"/>
    <w:rsid w:val="00C00668"/>
    <w:rsid w:val="00C020FA"/>
    <w:rsid w:val="00C03935"/>
    <w:rsid w:val="00C03B65"/>
    <w:rsid w:val="00C05B58"/>
    <w:rsid w:val="00C11255"/>
    <w:rsid w:val="00C11AF9"/>
    <w:rsid w:val="00C11D35"/>
    <w:rsid w:val="00C13262"/>
    <w:rsid w:val="00C14955"/>
    <w:rsid w:val="00C15497"/>
    <w:rsid w:val="00C2049A"/>
    <w:rsid w:val="00C204DE"/>
    <w:rsid w:val="00C214C1"/>
    <w:rsid w:val="00C21AD3"/>
    <w:rsid w:val="00C21FD1"/>
    <w:rsid w:val="00C24BB7"/>
    <w:rsid w:val="00C26381"/>
    <w:rsid w:val="00C31D22"/>
    <w:rsid w:val="00C32256"/>
    <w:rsid w:val="00C3395A"/>
    <w:rsid w:val="00C33C68"/>
    <w:rsid w:val="00C34C6E"/>
    <w:rsid w:val="00C36434"/>
    <w:rsid w:val="00C372B2"/>
    <w:rsid w:val="00C372B6"/>
    <w:rsid w:val="00C37918"/>
    <w:rsid w:val="00C4242F"/>
    <w:rsid w:val="00C446CC"/>
    <w:rsid w:val="00C46B59"/>
    <w:rsid w:val="00C478C8"/>
    <w:rsid w:val="00C47D95"/>
    <w:rsid w:val="00C5006F"/>
    <w:rsid w:val="00C511EF"/>
    <w:rsid w:val="00C53573"/>
    <w:rsid w:val="00C53674"/>
    <w:rsid w:val="00C54ED3"/>
    <w:rsid w:val="00C60B7F"/>
    <w:rsid w:val="00C610C3"/>
    <w:rsid w:val="00C623AA"/>
    <w:rsid w:val="00C70019"/>
    <w:rsid w:val="00C70760"/>
    <w:rsid w:val="00C7315E"/>
    <w:rsid w:val="00C74328"/>
    <w:rsid w:val="00C743C2"/>
    <w:rsid w:val="00C74693"/>
    <w:rsid w:val="00C74C78"/>
    <w:rsid w:val="00C74F91"/>
    <w:rsid w:val="00C821E5"/>
    <w:rsid w:val="00C82BF8"/>
    <w:rsid w:val="00C8345E"/>
    <w:rsid w:val="00C8704B"/>
    <w:rsid w:val="00C9104F"/>
    <w:rsid w:val="00C92F2A"/>
    <w:rsid w:val="00C93142"/>
    <w:rsid w:val="00C9408E"/>
    <w:rsid w:val="00C943C5"/>
    <w:rsid w:val="00C94D4D"/>
    <w:rsid w:val="00CA0854"/>
    <w:rsid w:val="00CA270F"/>
    <w:rsid w:val="00CA554E"/>
    <w:rsid w:val="00CA619A"/>
    <w:rsid w:val="00CB0189"/>
    <w:rsid w:val="00CB3095"/>
    <w:rsid w:val="00CB330E"/>
    <w:rsid w:val="00CB4BB7"/>
    <w:rsid w:val="00CB4C80"/>
    <w:rsid w:val="00CB62B4"/>
    <w:rsid w:val="00CB7397"/>
    <w:rsid w:val="00CB7FD7"/>
    <w:rsid w:val="00CC2B62"/>
    <w:rsid w:val="00CC452E"/>
    <w:rsid w:val="00CC4BC2"/>
    <w:rsid w:val="00CC5A2C"/>
    <w:rsid w:val="00CD0242"/>
    <w:rsid w:val="00CD14C5"/>
    <w:rsid w:val="00CD1D19"/>
    <w:rsid w:val="00CD2664"/>
    <w:rsid w:val="00CD2F35"/>
    <w:rsid w:val="00CD59DA"/>
    <w:rsid w:val="00CD6C88"/>
    <w:rsid w:val="00CE228B"/>
    <w:rsid w:val="00CE3C30"/>
    <w:rsid w:val="00CE450F"/>
    <w:rsid w:val="00CE5647"/>
    <w:rsid w:val="00CE65D7"/>
    <w:rsid w:val="00CF1FD6"/>
    <w:rsid w:val="00CF2EA0"/>
    <w:rsid w:val="00CF2FAD"/>
    <w:rsid w:val="00CF4345"/>
    <w:rsid w:val="00CF59B5"/>
    <w:rsid w:val="00CF65BF"/>
    <w:rsid w:val="00CF6F1B"/>
    <w:rsid w:val="00D006C2"/>
    <w:rsid w:val="00D00DDF"/>
    <w:rsid w:val="00D025DF"/>
    <w:rsid w:val="00D03A6A"/>
    <w:rsid w:val="00D131CC"/>
    <w:rsid w:val="00D13C31"/>
    <w:rsid w:val="00D1448F"/>
    <w:rsid w:val="00D14F3E"/>
    <w:rsid w:val="00D159BE"/>
    <w:rsid w:val="00D17ECB"/>
    <w:rsid w:val="00D22D12"/>
    <w:rsid w:val="00D235CC"/>
    <w:rsid w:val="00D2463A"/>
    <w:rsid w:val="00D2633B"/>
    <w:rsid w:val="00D27344"/>
    <w:rsid w:val="00D3190E"/>
    <w:rsid w:val="00D325D1"/>
    <w:rsid w:val="00D32D4E"/>
    <w:rsid w:val="00D336E0"/>
    <w:rsid w:val="00D3450E"/>
    <w:rsid w:val="00D36914"/>
    <w:rsid w:val="00D50626"/>
    <w:rsid w:val="00D54FAE"/>
    <w:rsid w:val="00D57F96"/>
    <w:rsid w:val="00D60DCA"/>
    <w:rsid w:val="00D61206"/>
    <w:rsid w:val="00D622DA"/>
    <w:rsid w:val="00D6325C"/>
    <w:rsid w:val="00D66E40"/>
    <w:rsid w:val="00D67389"/>
    <w:rsid w:val="00D70A41"/>
    <w:rsid w:val="00D70D50"/>
    <w:rsid w:val="00D70D75"/>
    <w:rsid w:val="00D7179F"/>
    <w:rsid w:val="00D7181B"/>
    <w:rsid w:val="00D7219F"/>
    <w:rsid w:val="00D72C12"/>
    <w:rsid w:val="00D72DAB"/>
    <w:rsid w:val="00D7330D"/>
    <w:rsid w:val="00D751F7"/>
    <w:rsid w:val="00D759C6"/>
    <w:rsid w:val="00D76997"/>
    <w:rsid w:val="00D800C5"/>
    <w:rsid w:val="00D8059E"/>
    <w:rsid w:val="00D81522"/>
    <w:rsid w:val="00D81B09"/>
    <w:rsid w:val="00D83A27"/>
    <w:rsid w:val="00D83B7F"/>
    <w:rsid w:val="00D84024"/>
    <w:rsid w:val="00D85807"/>
    <w:rsid w:val="00D86F12"/>
    <w:rsid w:val="00D87021"/>
    <w:rsid w:val="00D926A3"/>
    <w:rsid w:val="00D92E3A"/>
    <w:rsid w:val="00D93A36"/>
    <w:rsid w:val="00D95A0F"/>
    <w:rsid w:val="00D97EEC"/>
    <w:rsid w:val="00DA0564"/>
    <w:rsid w:val="00DA1DAC"/>
    <w:rsid w:val="00DA1E64"/>
    <w:rsid w:val="00DA35E1"/>
    <w:rsid w:val="00DA3617"/>
    <w:rsid w:val="00DA623F"/>
    <w:rsid w:val="00DA6D12"/>
    <w:rsid w:val="00DB3ADA"/>
    <w:rsid w:val="00DC0168"/>
    <w:rsid w:val="00DC03BB"/>
    <w:rsid w:val="00DC3C9A"/>
    <w:rsid w:val="00DC5E49"/>
    <w:rsid w:val="00DC669A"/>
    <w:rsid w:val="00DD4B21"/>
    <w:rsid w:val="00DD5200"/>
    <w:rsid w:val="00DD54A2"/>
    <w:rsid w:val="00DD570B"/>
    <w:rsid w:val="00DD5E1F"/>
    <w:rsid w:val="00DD73C1"/>
    <w:rsid w:val="00DD7697"/>
    <w:rsid w:val="00DE0E6B"/>
    <w:rsid w:val="00DE17C3"/>
    <w:rsid w:val="00DE1FEB"/>
    <w:rsid w:val="00DE37CC"/>
    <w:rsid w:val="00DE4223"/>
    <w:rsid w:val="00DE52A4"/>
    <w:rsid w:val="00DE5720"/>
    <w:rsid w:val="00DF0498"/>
    <w:rsid w:val="00DF18AA"/>
    <w:rsid w:val="00DF285A"/>
    <w:rsid w:val="00DF2D96"/>
    <w:rsid w:val="00DF2DC4"/>
    <w:rsid w:val="00DF62C5"/>
    <w:rsid w:val="00DF654A"/>
    <w:rsid w:val="00DF6ED3"/>
    <w:rsid w:val="00DF7087"/>
    <w:rsid w:val="00DF7294"/>
    <w:rsid w:val="00DF782D"/>
    <w:rsid w:val="00DF79CC"/>
    <w:rsid w:val="00E015FB"/>
    <w:rsid w:val="00E10345"/>
    <w:rsid w:val="00E10819"/>
    <w:rsid w:val="00E10C0E"/>
    <w:rsid w:val="00E11762"/>
    <w:rsid w:val="00E121F2"/>
    <w:rsid w:val="00E12DC6"/>
    <w:rsid w:val="00E140BF"/>
    <w:rsid w:val="00E15CAE"/>
    <w:rsid w:val="00E16BC6"/>
    <w:rsid w:val="00E1774B"/>
    <w:rsid w:val="00E20DF8"/>
    <w:rsid w:val="00E239B3"/>
    <w:rsid w:val="00E25CE4"/>
    <w:rsid w:val="00E27656"/>
    <w:rsid w:val="00E27EBE"/>
    <w:rsid w:val="00E308B8"/>
    <w:rsid w:val="00E3541F"/>
    <w:rsid w:val="00E4124D"/>
    <w:rsid w:val="00E44353"/>
    <w:rsid w:val="00E44718"/>
    <w:rsid w:val="00E453D4"/>
    <w:rsid w:val="00E45413"/>
    <w:rsid w:val="00E46AA8"/>
    <w:rsid w:val="00E5039E"/>
    <w:rsid w:val="00E507A6"/>
    <w:rsid w:val="00E52A48"/>
    <w:rsid w:val="00E55859"/>
    <w:rsid w:val="00E5717B"/>
    <w:rsid w:val="00E613A5"/>
    <w:rsid w:val="00E63295"/>
    <w:rsid w:val="00E640F8"/>
    <w:rsid w:val="00E64324"/>
    <w:rsid w:val="00E66927"/>
    <w:rsid w:val="00E671C3"/>
    <w:rsid w:val="00E71A93"/>
    <w:rsid w:val="00E71E47"/>
    <w:rsid w:val="00E72AFD"/>
    <w:rsid w:val="00E72D75"/>
    <w:rsid w:val="00E7553E"/>
    <w:rsid w:val="00E76638"/>
    <w:rsid w:val="00E76DAD"/>
    <w:rsid w:val="00E76ECF"/>
    <w:rsid w:val="00E80CA5"/>
    <w:rsid w:val="00E80D04"/>
    <w:rsid w:val="00E816A1"/>
    <w:rsid w:val="00E82B75"/>
    <w:rsid w:val="00E83B14"/>
    <w:rsid w:val="00E8520D"/>
    <w:rsid w:val="00E855E3"/>
    <w:rsid w:val="00E8629C"/>
    <w:rsid w:val="00E8776B"/>
    <w:rsid w:val="00E877ED"/>
    <w:rsid w:val="00E91638"/>
    <w:rsid w:val="00E91831"/>
    <w:rsid w:val="00E93CB4"/>
    <w:rsid w:val="00E94F07"/>
    <w:rsid w:val="00E97D22"/>
    <w:rsid w:val="00EA155E"/>
    <w:rsid w:val="00EA1D7B"/>
    <w:rsid w:val="00EA38DE"/>
    <w:rsid w:val="00EA440D"/>
    <w:rsid w:val="00EA6CAB"/>
    <w:rsid w:val="00EA725B"/>
    <w:rsid w:val="00EB391B"/>
    <w:rsid w:val="00EB4615"/>
    <w:rsid w:val="00EB4CAA"/>
    <w:rsid w:val="00EB7F04"/>
    <w:rsid w:val="00EC1824"/>
    <w:rsid w:val="00EC2525"/>
    <w:rsid w:val="00EC2D3C"/>
    <w:rsid w:val="00EC4BE9"/>
    <w:rsid w:val="00EC6248"/>
    <w:rsid w:val="00EC73B3"/>
    <w:rsid w:val="00EC7B2C"/>
    <w:rsid w:val="00ED0B5E"/>
    <w:rsid w:val="00ED0C09"/>
    <w:rsid w:val="00ED0DA3"/>
    <w:rsid w:val="00ED66BC"/>
    <w:rsid w:val="00EE03EE"/>
    <w:rsid w:val="00EE3E3A"/>
    <w:rsid w:val="00EE42AF"/>
    <w:rsid w:val="00EE5403"/>
    <w:rsid w:val="00EE5D52"/>
    <w:rsid w:val="00EF043B"/>
    <w:rsid w:val="00EF0606"/>
    <w:rsid w:val="00EF07E9"/>
    <w:rsid w:val="00EF237E"/>
    <w:rsid w:val="00EF23DF"/>
    <w:rsid w:val="00EF2575"/>
    <w:rsid w:val="00EF30C9"/>
    <w:rsid w:val="00EF42E2"/>
    <w:rsid w:val="00EF68B4"/>
    <w:rsid w:val="00F0614A"/>
    <w:rsid w:val="00F0780D"/>
    <w:rsid w:val="00F12C0F"/>
    <w:rsid w:val="00F16D65"/>
    <w:rsid w:val="00F17352"/>
    <w:rsid w:val="00F17B83"/>
    <w:rsid w:val="00F20790"/>
    <w:rsid w:val="00F2351B"/>
    <w:rsid w:val="00F3065B"/>
    <w:rsid w:val="00F30B3E"/>
    <w:rsid w:val="00F32B29"/>
    <w:rsid w:val="00F41597"/>
    <w:rsid w:val="00F4296D"/>
    <w:rsid w:val="00F43DBB"/>
    <w:rsid w:val="00F46396"/>
    <w:rsid w:val="00F50CD9"/>
    <w:rsid w:val="00F51BD0"/>
    <w:rsid w:val="00F53B8A"/>
    <w:rsid w:val="00F53D13"/>
    <w:rsid w:val="00F53FDC"/>
    <w:rsid w:val="00F54281"/>
    <w:rsid w:val="00F55118"/>
    <w:rsid w:val="00F551AD"/>
    <w:rsid w:val="00F56E8C"/>
    <w:rsid w:val="00F61308"/>
    <w:rsid w:val="00F61547"/>
    <w:rsid w:val="00F619F6"/>
    <w:rsid w:val="00F625A9"/>
    <w:rsid w:val="00F62F23"/>
    <w:rsid w:val="00F64AF3"/>
    <w:rsid w:val="00F65565"/>
    <w:rsid w:val="00F658AD"/>
    <w:rsid w:val="00F673F0"/>
    <w:rsid w:val="00F7103B"/>
    <w:rsid w:val="00F7163B"/>
    <w:rsid w:val="00F721F0"/>
    <w:rsid w:val="00F72B80"/>
    <w:rsid w:val="00F7476C"/>
    <w:rsid w:val="00F749A0"/>
    <w:rsid w:val="00F76D5B"/>
    <w:rsid w:val="00F77FF0"/>
    <w:rsid w:val="00F83300"/>
    <w:rsid w:val="00F83E75"/>
    <w:rsid w:val="00F868B9"/>
    <w:rsid w:val="00F86C6A"/>
    <w:rsid w:val="00F8796D"/>
    <w:rsid w:val="00F912B1"/>
    <w:rsid w:val="00F91942"/>
    <w:rsid w:val="00F93B0E"/>
    <w:rsid w:val="00F93BEE"/>
    <w:rsid w:val="00F948D4"/>
    <w:rsid w:val="00F94A49"/>
    <w:rsid w:val="00F96508"/>
    <w:rsid w:val="00F97147"/>
    <w:rsid w:val="00FA0AF2"/>
    <w:rsid w:val="00FA2255"/>
    <w:rsid w:val="00FA385C"/>
    <w:rsid w:val="00FA6626"/>
    <w:rsid w:val="00FA6767"/>
    <w:rsid w:val="00FB033D"/>
    <w:rsid w:val="00FB0DAB"/>
    <w:rsid w:val="00FB1F61"/>
    <w:rsid w:val="00FB3AE9"/>
    <w:rsid w:val="00FB569D"/>
    <w:rsid w:val="00FB79C9"/>
    <w:rsid w:val="00FC0076"/>
    <w:rsid w:val="00FC1156"/>
    <w:rsid w:val="00FC342C"/>
    <w:rsid w:val="00FC452D"/>
    <w:rsid w:val="00FC4870"/>
    <w:rsid w:val="00FC597E"/>
    <w:rsid w:val="00FD13E3"/>
    <w:rsid w:val="00FD2D03"/>
    <w:rsid w:val="00FD38D1"/>
    <w:rsid w:val="00FD5516"/>
    <w:rsid w:val="00FD6D44"/>
    <w:rsid w:val="00FD72D9"/>
    <w:rsid w:val="00FD7366"/>
    <w:rsid w:val="00FE5EFB"/>
    <w:rsid w:val="00FE6857"/>
    <w:rsid w:val="00FE7660"/>
    <w:rsid w:val="00FE7C65"/>
    <w:rsid w:val="00FF2267"/>
    <w:rsid w:val="00FF4009"/>
    <w:rsid w:val="00FF4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B8E8AB"/>
  <w15:docId w15:val="{E7F9BA90-7B93-4FE7-B30A-79F1684E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C02"/>
    <w:pPr>
      <w:spacing w:after="200" w:line="288" w:lineRule="auto"/>
    </w:pPr>
    <w:rPr>
      <w:rFonts w:ascii="Arial" w:hAnsi="Arial"/>
      <w:color w:val="333333"/>
      <w:lang w:eastAsia="en-US"/>
    </w:rPr>
  </w:style>
  <w:style w:type="paragraph" w:styleId="Heading1">
    <w:name w:val="heading 1"/>
    <w:basedOn w:val="Normal"/>
    <w:next w:val="Body1"/>
    <w:qFormat/>
    <w:rsid w:val="00C11255"/>
    <w:pPr>
      <w:numPr>
        <w:numId w:val="1"/>
      </w:numPr>
      <w:outlineLvl w:val="0"/>
    </w:pPr>
  </w:style>
  <w:style w:type="paragraph" w:styleId="Heading2">
    <w:name w:val="heading 2"/>
    <w:basedOn w:val="Normal"/>
    <w:next w:val="Body2"/>
    <w:qFormat/>
    <w:rsid w:val="00C11255"/>
    <w:pPr>
      <w:numPr>
        <w:ilvl w:val="1"/>
        <w:numId w:val="1"/>
      </w:numPr>
      <w:outlineLvl w:val="1"/>
    </w:pPr>
  </w:style>
  <w:style w:type="paragraph" w:styleId="Heading3">
    <w:name w:val="heading 3"/>
    <w:basedOn w:val="Normal"/>
    <w:next w:val="Body3"/>
    <w:qFormat/>
    <w:rsid w:val="005C4A8E"/>
    <w:pPr>
      <w:numPr>
        <w:ilvl w:val="2"/>
        <w:numId w:val="1"/>
      </w:numPr>
      <w:ind w:hanging="964"/>
      <w:outlineLvl w:val="2"/>
    </w:pPr>
  </w:style>
  <w:style w:type="paragraph" w:styleId="Heading4">
    <w:name w:val="heading 4"/>
    <w:basedOn w:val="Normal"/>
    <w:next w:val="Body4"/>
    <w:qFormat/>
    <w:rsid w:val="005C4A8E"/>
    <w:pPr>
      <w:numPr>
        <w:ilvl w:val="3"/>
        <w:numId w:val="1"/>
      </w:numPr>
      <w:ind w:left="3623" w:hanging="1219"/>
      <w:outlineLvl w:val="3"/>
    </w:pPr>
  </w:style>
  <w:style w:type="paragraph" w:styleId="Heading5">
    <w:name w:val="heading 5"/>
    <w:basedOn w:val="Normal"/>
    <w:next w:val="Body5"/>
    <w:qFormat/>
    <w:rsid w:val="00C11255"/>
    <w:pPr>
      <w:numPr>
        <w:ilvl w:val="4"/>
        <w:numId w:val="1"/>
      </w:numPr>
      <w:outlineLvl w:val="4"/>
    </w:pPr>
  </w:style>
  <w:style w:type="paragraph" w:styleId="Heading6">
    <w:name w:val="heading 6"/>
    <w:basedOn w:val="Normal"/>
    <w:next w:val="Body6"/>
    <w:qFormat/>
    <w:rsid w:val="00C11255"/>
    <w:pPr>
      <w:numPr>
        <w:ilvl w:val="5"/>
        <w:numId w:val="1"/>
      </w:numPr>
      <w:outlineLvl w:val="5"/>
    </w:pPr>
  </w:style>
  <w:style w:type="paragraph" w:styleId="Heading7">
    <w:name w:val="heading 7"/>
    <w:basedOn w:val="Normal"/>
    <w:next w:val="Body7"/>
    <w:qFormat/>
    <w:rsid w:val="00C11255"/>
    <w:pPr>
      <w:numPr>
        <w:ilvl w:val="6"/>
        <w:numId w:val="1"/>
      </w:numPr>
      <w:outlineLvl w:val="6"/>
    </w:pPr>
  </w:style>
  <w:style w:type="paragraph" w:styleId="Heading8">
    <w:name w:val="heading 8"/>
    <w:basedOn w:val="Normal"/>
    <w:next w:val="Body8"/>
    <w:qFormat/>
    <w:rsid w:val="00C11255"/>
    <w:pPr>
      <w:numPr>
        <w:ilvl w:val="7"/>
        <w:numId w:val="1"/>
      </w:numPr>
      <w:outlineLvl w:val="7"/>
    </w:pPr>
  </w:style>
  <w:style w:type="paragraph" w:styleId="Heading9">
    <w:name w:val="heading 9"/>
    <w:basedOn w:val="Normal"/>
    <w:next w:val="Body9"/>
    <w:qFormat/>
    <w:rsid w:val="00C11255"/>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1255"/>
    <w:pPr>
      <w:tabs>
        <w:tab w:val="center" w:pos="4153"/>
        <w:tab w:val="right" w:pos="8306"/>
      </w:tabs>
    </w:pPr>
  </w:style>
  <w:style w:type="paragraph" w:styleId="Footer">
    <w:name w:val="footer"/>
    <w:basedOn w:val="Normal"/>
    <w:rsid w:val="00C11255"/>
    <w:pPr>
      <w:tabs>
        <w:tab w:val="center" w:pos="4153"/>
        <w:tab w:val="right" w:pos="8306"/>
      </w:tabs>
    </w:pPr>
  </w:style>
  <w:style w:type="character" w:styleId="PageNumber">
    <w:name w:val="page number"/>
    <w:basedOn w:val="DefaultParagraphFont"/>
    <w:rsid w:val="00C11255"/>
    <w:rPr>
      <w:rFonts w:ascii="Arial" w:hAnsi="Arial"/>
      <w:sz w:val="18"/>
    </w:rPr>
  </w:style>
  <w:style w:type="paragraph" w:customStyle="1" w:styleId="Body1">
    <w:name w:val="Body1"/>
    <w:basedOn w:val="Normal"/>
    <w:rsid w:val="00C11255"/>
    <w:pPr>
      <w:ind w:left="720"/>
    </w:pPr>
  </w:style>
  <w:style w:type="paragraph" w:customStyle="1" w:styleId="Body2">
    <w:name w:val="Body2"/>
    <w:basedOn w:val="Normal"/>
    <w:rsid w:val="00C11255"/>
    <w:pPr>
      <w:ind w:left="1440"/>
    </w:pPr>
  </w:style>
  <w:style w:type="paragraph" w:customStyle="1" w:styleId="Body3">
    <w:name w:val="Body3"/>
    <w:basedOn w:val="Normal"/>
    <w:rsid w:val="00C11255"/>
    <w:pPr>
      <w:ind w:left="2404"/>
    </w:pPr>
  </w:style>
  <w:style w:type="paragraph" w:customStyle="1" w:styleId="Body4">
    <w:name w:val="Body4"/>
    <w:basedOn w:val="Normal"/>
    <w:rsid w:val="00C11255"/>
    <w:pPr>
      <w:ind w:left="3617"/>
    </w:pPr>
  </w:style>
  <w:style w:type="paragraph" w:customStyle="1" w:styleId="Body5">
    <w:name w:val="Body5"/>
    <w:basedOn w:val="Normal"/>
    <w:rsid w:val="00C11255"/>
    <w:pPr>
      <w:ind w:left="4349"/>
    </w:pPr>
  </w:style>
  <w:style w:type="paragraph" w:styleId="BodyTextIndent">
    <w:name w:val="Body Text Indent"/>
    <w:basedOn w:val="Normal"/>
    <w:rsid w:val="00C11255"/>
    <w:pPr>
      <w:ind w:left="709"/>
    </w:pPr>
  </w:style>
  <w:style w:type="paragraph" w:customStyle="1" w:styleId="Body6">
    <w:name w:val="Body6"/>
    <w:basedOn w:val="Normal"/>
    <w:rsid w:val="00C11255"/>
    <w:pPr>
      <w:ind w:left="5058"/>
    </w:pPr>
  </w:style>
  <w:style w:type="paragraph" w:customStyle="1" w:styleId="Body7">
    <w:name w:val="Body7"/>
    <w:basedOn w:val="Normal"/>
    <w:rsid w:val="00C11255"/>
    <w:pPr>
      <w:ind w:left="5761"/>
    </w:pPr>
  </w:style>
  <w:style w:type="paragraph" w:customStyle="1" w:styleId="Body8">
    <w:name w:val="Body8"/>
    <w:basedOn w:val="Normal"/>
    <w:rsid w:val="00C11255"/>
    <w:pPr>
      <w:ind w:left="6447"/>
    </w:pPr>
  </w:style>
  <w:style w:type="paragraph" w:customStyle="1" w:styleId="Body9">
    <w:name w:val="Body9"/>
    <w:basedOn w:val="Normal"/>
    <w:rsid w:val="00C11255"/>
    <w:pPr>
      <w:ind w:left="7156"/>
    </w:pPr>
  </w:style>
  <w:style w:type="paragraph" w:styleId="ListBullet">
    <w:name w:val="List Bullet"/>
    <w:basedOn w:val="Normal"/>
    <w:rsid w:val="00C11255"/>
    <w:pPr>
      <w:ind w:left="709" w:hanging="709"/>
    </w:pPr>
  </w:style>
  <w:style w:type="paragraph" w:styleId="ListBullet2">
    <w:name w:val="List Bullet 2"/>
    <w:basedOn w:val="Normal"/>
    <w:rsid w:val="00C11255"/>
    <w:pPr>
      <w:ind w:left="993" w:hanging="709"/>
    </w:pPr>
  </w:style>
  <w:style w:type="paragraph" w:styleId="ListBullet3">
    <w:name w:val="List Bullet 3"/>
    <w:basedOn w:val="Normal"/>
    <w:rsid w:val="00C11255"/>
    <w:pPr>
      <w:ind w:left="1276" w:hanging="709"/>
    </w:pPr>
  </w:style>
  <w:style w:type="paragraph" w:styleId="ListBullet4">
    <w:name w:val="List Bullet 4"/>
    <w:basedOn w:val="Normal"/>
    <w:rsid w:val="00C11255"/>
    <w:pPr>
      <w:ind w:left="1560" w:hanging="709"/>
    </w:pPr>
  </w:style>
  <w:style w:type="paragraph" w:styleId="ListBullet5">
    <w:name w:val="List Bullet 5"/>
    <w:basedOn w:val="Normal"/>
    <w:rsid w:val="00C11255"/>
    <w:pPr>
      <w:ind w:left="1843" w:hanging="709"/>
    </w:pPr>
  </w:style>
  <w:style w:type="paragraph" w:styleId="ListContinue">
    <w:name w:val="List Continue"/>
    <w:basedOn w:val="Normal"/>
    <w:rsid w:val="00C11255"/>
    <w:pPr>
      <w:ind w:left="709"/>
    </w:pPr>
  </w:style>
  <w:style w:type="paragraph" w:styleId="ListContinue2">
    <w:name w:val="List Continue 2"/>
    <w:basedOn w:val="Normal"/>
    <w:rsid w:val="00C11255"/>
    <w:pPr>
      <w:ind w:left="567"/>
    </w:pPr>
  </w:style>
  <w:style w:type="paragraph" w:styleId="ListNumber">
    <w:name w:val="List Number"/>
    <w:basedOn w:val="Normal"/>
    <w:rsid w:val="00C11255"/>
    <w:pPr>
      <w:ind w:left="709" w:hanging="709"/>
    </w:pPr>
  </w:style>
  <w:style w:type="paragraph" w:styleId="ListNumber2">
    <w:name w:val="List Number 2"/>
    <w:basedOn w:val="Normal"/>
    <w:rsid w:val="00C11255"/>
    <w:pPr>
      <w:ind w:left="993" w:hanging="709"/>
    </w:pPr>
  </w:style>
  <w:style w:type="paragraph" w:styleId="ListNumber3">
    <w:name w:val="List Number 3"/>
    <w:basedOn w:val="Normal"/>
    <w:rsid w:val="00C11255"/>
    <w:pPr>
      <w:ind w:left="1276" w:hanging="709"/>
    </w:pPr>
  </w:style>
  <w:style w:type="paragraph" w:styleId="ListNumber4">
    <w:name w:val="List Number 4"/>
    <w:basedOn w:val="Normal"/>
    <w:rsid w:val="00C11255"/>
    <w:pPr>
      <w:ind w:left="1560" w:hanging="709"/>
    </w:pPr>
  </w:style>
  <w:style w:type="paragraph" w:styleId="ListNumber5">
    <w:name w:val="List Number 5"/>
    <w:basedOn w:val="Normal"/>
    <w:rsid w:val="00C11255"/>
    <w:pPr>
      <w:ind w:left="1843" w:hanging="709"/>
    </w:pPr>
  </w:style>
  <w:style w:type="paragraph" w:styleId="BodyText">
    <w:name w:val="Body Text"/>
    <w:basedOn w:val="Normal"/>
    <w:rsid w:val="00C11255"/>
  </w:style>
  <w:style w:type="paragraph" w:customStyle="1" w:styleId="DocSpace">
    <w:name w:val="DocSpace"/>
    <w:basedOn w:val="Normal"/>
    <w:rsid w:val="00C11255"/>
  </w:style>
  <w:style w:type="paragraph" w:customStyle="1" w:styleId="SchTitle">
    <w:name w:val="Sch Title"/>
    <w:next w:val="Normal"/>
    <w:rsid w:val="00C11255"/>
    <w:pPr>
      <w:keepNext/>
      <w:spacing w:before="240" w:after="60"/>
      <w:jc w:val="center"/>
    </w:pPr>
    <w:rPr>
      <w:rFonts w:ascii="Arial" w:hAnsi="Arial"/>
      <w:b/>
      <w:noProof/>
      <w:lang w:eastAsia="en-US"/>
    </w:rPr>
  </w:style>
  <w:style w:type="paragraph" w:customStyle="1" w:styleId="SchedClauses">
    <w:name w:val="Sched Clauses"/>
    <w:basedOn w:val="Normal"/>
    <w:rsid w:val="00C11255"/>
  </w:style>
  <w:style w:type="paragraph" w:customStyle="1" w:styleId="STBody">
    <w:name w:val="STBody"/>
    <w:basedOn w:val="Normal"/>
    <w:rsid w:val="00C11255"/>
    <w:pPr>
      <w:keepNext/>
      <w:jc w:val="center"/>
    </w:pPr>
  </w:style>
  <w:style w:type="character" w:styleId="Hyperlink">
    <w:name w:val="Hyperlink"/>
    <w:basedOn w:val="DefaultParagraphFont"/>
    <w:uiPriority w:val="99"/>
    <w:rsid w:val="00C11255"/>
    <w:rPr>
      <w:color w:val="0000FF"/>
      <w:u w:val="single"/>
    </w:rPr>
  </w:style>
  <w:style w:type="paragraph" w:customStyle="1" w:styleId="SingleSpace">
    <w:name w:val="SingleSpace"/>
    <w:rsid w:val="007F1C02"/>
    <w:pPr>
      <w:tabs>
        <w:tab w:val="left" w:pos="993"/>
      </w:tabs>
    </w:pPr>
    <w:rPr>
      <w:rFonts w:ascii="Arial" w:hAnsi="Arial"/>
      <w:lang w:eastAsia="en-US"/>
    </w:rPr>
  </w:style>
  <w:style w:type="paragraph" w:styleId="BalloonText">
    <w:name w:val="Balloon Text"/>
    <w:basedOn w:val="Normal"/>
    <w:semiHidden/>
    <w:rsid w:val="00697B78"/>
    <w:rPr>
      <w:rFonts w:ascii="Tahoma" w:hAnsi="Tahoma" w:cs="Tahoma"/>
      <w:sz w:val="16"/>
      <w:szCs w:val="16"/>
    </w:rPr>
  </w:style>
  <w:style w:type="paragraph" w:styleId="ListParagraph">
    <w:name w:val="List Paragraph"/>
    <w:basedOn w:val="Normal"/>
    <w:uiPriority w:val="1"/>
    <w:qFormat/>
    <w:rsid w:val="004A76D5"/>
    <w:pPr>
      <w:spacing w:after="0"/>
      <w:ind w:left="720"/>
      <w:contextualSpacing/>
    </w:pPr>
    <w:rPr>
      <w:color w:val="auto"/>
    </w:rPr>
  </w:style>
  <w:style w:type="paragraph" w:styleId="NormalWeb">
    <w:name w:val="Normal (Web)"/>
    <w:basedOn w:val="Normal"/>
    <w:uiPriority w:val="99"/>
    <w:unhideWhenUsed/>
    <w:rsid w:val="004A76D5"/>
    <w:pPr>
      <w:spacing w:before="240" w:after="480" w:line="240" w:lineRule="auto"/>
    </w:pPr>
    <w:rPr>
      <w:rFonts w:ascii="Times New Roman" w:hAnsi="Times New Roman"/>
      <w:color w:val="auto"/>
      <w:sz w:val="24"/>
      <w:szCs w:val="24"/>
      <w:lang w:eastAsia="en-GB"/>
    </w:rPr>
  </w:style>
  <w:style w:type="character" w:styleId="Strong">
    <w:name w:val="Strong"/>
    <w:basedOn w:val="DefaultParagraphFont"/>
    <w:uiPriority w:val="1"/>
    <w:qFormat/>
    <w:rsid w:val="0020398C"/>
    <w:rPr>
      <w:b/>
      <w:bCs/>
    </w:rPr>
  </w:style>
  <w:style w:type="character" w:styleId="FollowedHyperlink">
    <w:name w:val="FollowedHyperlink"/>
    <w:basedOn w:val="DefaultParagraphFont"/>
    <w:semiHidden/>
    <w:unhideWhenUsed/>
    <w:rsid w:val="0020398C"/>
    <w:rPr>
      <w:color w:val="800080" w:themeColor="followedHyperlink"/>
      <w:u w:val="single"/>
    </w:rPr>
  </w:style>
  <w:style w:type="paragraph" w:customStyle="1" w:styleId="Default">
    <w:name w:val="Default"/>
    <w:rsid w:val="005E70E7"/>
    <w:pPr>
      <w:autoSpaceDE w:val="0"/>
      <w:autoSpaceDN w:val="0"/>
      <w:adjustRightInd w:val="0"/>
    </w:pPr>
    <w:rPr>
      <w:rFonts w:ascii="Arial" w:hAnsi="Arial" w:cs="Arial"/>
      <w:color w:val="000000"/>
      <w:sz w:val="24"/>
      <w:szCs w:val="24"/>
    </w:rPr>
  </w:style>
  <w:style w:type="paragraph" w:customStyle="1" w:styleId="Paragraph">
    <w:name w:val="Paragraph"/>
    <w:basedOn w:val="Normal"/>
    <w:uiPriority w:val="4"/>
    <w:qFormat/>
    <w:rsid w:val="000223BD"/>
    <w:pPr>
      <w:numPr>
        <w:numId w:val="4"/>
      </w:numPr>
      <w:spacing w:before="240" w:after="240" w:line="276" w:lineRule="auto"/>
    </w:pPr>
    <w:rPr>
      <w:color w:val="auto"/>
      <w:sz w:val="24"/>
      <w:szCs w:val="24"/>
      <w:lang w:eastAsia="en-GB"/>
    </w:rPr>
  </w:style>
  <w:style w:type="paragraph" w:styleId="Revision">
    <w:name w:val="Revision"/>
    <w:hidden/>
    <w:uiPriority w:val="99"/>
    <w:semiHidden/>
    <w:rsid w:val="000329FE"/>
    <w:rPr>
      <w:rFonts w:ascii="Arial" w:hAnsi="Arial"/>
      <w:color w:val="333333"/>
      <w:lang w:eastAsia="en-US"/>
    </w:rPr>
  </w:style>
  <w:style w:type="character" w:styleId="CommentReference">
    <w:name w:val="annotation reference"/>
    <w:basedOn w:val="DefaultParagraphFont"/>
    <w:semiHidden/>
    <w:unhideWhenUsed/>
    <w:rsid w:val="000329FE"/>
    <w:rPr>
      <w:sz w:val="16"/>
      <w:szCs w:val="16"/>
    </w:rPr>
  </w:style>
  <w:style w:type="paragraph" w:styleId="CommentText">
    <w:name w:val="annotation text"/>
    <w:basedOn w:val="Normal"/>
    <w:link w:val="CommentTextChar"/>
    <w:unhideWhenUsed/>
    <w:rsid w:val="000329FE"/>
    <w:pPr>
      <w:spacing w:line="240" w:lineRule="auto"/>
    </w:pPr>
  </w:style>
  <w:style w:type="character" w:customStyle="1" w:styleId="CommentTextChar">
    <w:name w:val="Comment Text Char"/>
    <w:basedOn w:val="DefaultParagraphFont"/>
    <w:link w:val="CommentText"/>
    <w:rsid w:val="000329FE"/>
    <w:rPr>
      <w:rFonts w:ascii="Arial" w:hAnsi="Arial"/>
      <w:color w:val="333333"/>
      <w:lang w:eastAsia="en-US"/>
    </w:rPr>
  </w:style>
  <w:style w:type="paragraph" w:styleId="CommentSubject">
    <w:name w:val="annotation subject"/>
    <w:basedOn w:val="CommentText"/>
    <w:next w:val="CommentText"/>
    <w:link w:val="CommentSubjectChar"/>
    <w:semiHidden/>
    <w:unhideWhenUsed/>
    <w:rsid w:val="000329FE"/>
    <w:rPr>
      <w:b/>
      <w:bCs/>
    </w:rPr>
  </w:style>
  <w:style w:type="character" w:customStyle="1" w:styleId="CommentSubjectChar">
    <w:name w:val="Comment Subject Char"/>
    <w:basedOn w:val="CommentTextChar"/>
    <w:link w:val="CommentSubject"/>
    <w:semiHidden/>
    <w:rsid w:val="000329FE"/>
    <w:rPr>
      <w:rFonts w:ascii="Arial" w:hAnsi="Arial"/>
      <w:b/>
      <w:bCs/>
      <w:color w:val="333333"/>
      <w:lang w:eastAsia="en-US"/>
    </w:rPr>
  </w:style>
  <w:style w:type="paragraph" w:styleId="FootnoteText">
    <w:name w:val="footnote text"/>
    <w:basedOn w:val="Normal"/>
    <w:link w:val="FootnoteTextChar"/>
    <w:semiHidden/>
    <w:unhideWhenUsed/>
    <w:rsid w:val="00C70019"/>
    <w:pPr>
      <w:spacing w:after="0" w:line="240" w:lineRule="auto"/>
    </w:pPr>
  </w:style>
  <w:style w:type="character" w:customStyle="1" w:styleId="FootnoteTextChar">
    <w:name w:val="Footnote Text Char"/>
    <w:basedOn w:val="DefaultParagraphFont"/>
    <w:link w:val="FootnoteText"/>
    <w:semiHidden/>
    <w:rsid w:val="00C70019"/>
    <w:rPr>
      <w:rFonts w:ascii="Arial" w:hAnsi="Arial"/>
      <w:color w:val="333333"/>
      <w:lang w:eastAsia="en-US"/>
    </w:rPr>
  </w:style>
  <w:style w:type="character" w:styleId="FootnoteReference">
    <w:name w:val="footnote reference"/>
    <w:basedOn w:val="DefaultParagraphFont"/>
    <w:uiPriority w:val="99"/>
    <w:semiHidden/>
    <w:unhideWhenUsed/>
    <w:rsid w:val="00C70019"/>
    <w:rPr>
      <w:vertAlign w:val="superscript"/>
    </w:rPr>
  </w:style>
  <w:style w:type="character" w:customStyle="1" w:styleId="NICEnormalChar">
    <w:name w:val="NICE normal Char"/>
    <w:basedOn w:val="DefaultParagraphFont"/>
    <w:link w:val="NICEnormal"/>
    <w:locked/>
    <w:rsid w:val="00B94A47"/>
    <w:rPr>
      <w:rFonts w:ascii="Arial" w:hAnsi="Arial" w:cs="Arial"/>
      <w:lang w:eastAsia="en-US"/>
    </w:rPr>
  </w:style>
  <w:style w:type="paragraph" w:customStyle="1" w:styleId="NICEnormal">
    <w:name w:val="NICE normal"/>
    <w:basedOn w:val="Normal"/>
    <w:link w:val="NICEnormalChar"/>
    <w:rsid w:val="00B94A47"/>
    <w:pPr>
      <w:spacing w:after="240" w:line="360" w:lineRule="auto"/>
    </w:pPr>
    <w:rPr>
      <w:rFonts w:cs="Arial"/>
      <w:color w:val="auto"/>
    </w:rPr>
  </w:style>
  <w:style w:type="character" w:customStyle="1" w:styleId="HeaderChar">
    <w:name w:val="Header Char"/>
    <w:basedOn w:val="DefaultParagraphFont"/>
    <w:link w:val="Header"/>
    <w:uiPriority w:val="99"/>
    <w:rsid w:val="00491045"/>
    <w:rPr>
      <w:rFonts w:ascii="Arial" w:hAnsi="Arial"/>
      <w:color w:val="333333"/>
      <w:lang w:eastAsia="en-US"/>
    </w:rPr>
  </w:style>
  <w:style w:type="character" w:styleId="UnresolvedMention">
    <w:name w:val="Unresolved Mention"/>
    <w:basedOn w:val="DefaultParagraphFont"/>
    <w:uiPriority w:val="99"/>
    <w:semiHidden/>
    <w:unhideWhenUsed/>
    <w:rsid w:val="00791FF1"/>
    <w:rPr>
      <w:color w:val="605E5C"/>
      <w:shd w:val="clear" w:color="auto" w:fill="E1DFDD"/>
    </w:rPr>
  </w:style>
  <w:style w:type="character" w:customStyle="1" w:styleId="StyleParagraph11ptChar">
    <w:name w:val="Style Paragraph + 11 pt Char"/>
    <w:basedOn w:val="DefaultParagraphFont"/>
    <w:link w:val="StyleParagraph11pt"/>
    <w:locked/>
    <w:rsid w:val="00DF62C5"/>
    <w:rPr>
      <w:rFonts w:ascii="Arial" w:hAnsi="Arial" w:cs="Arial"/>
      <w:sz w:val="22"/>
      <w:szCs w:val="24"/>
    </w:rPr>
  </w:style>
  <w:style w:type="paragraph" w:customStyle="1" w:styleId="StyleParagraph11pt">
    <w:name w:val="Style Paragraph + 11 pt"/>
    <w:basedOn w:val="Normal"/>
    <w:link w:val="StyleParagraph11ptChar"/>
    <w:rsid w:val="00DF62C5"/>
    <w:pPr>
      <w:spacing w:before="240" w:after="240" w:line="276" w:lineRule="auto"/>
      <w:jc w:val="both"/>
    </w:pPr>
    <w:rPr>
      <w:rFonts w:cs="Arial"/>
      <w:color w:val="auto"/>
      <w:sz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1885">
      <w:bodyDiv w:val="1"/>
      <w:marLeft w:val="0"/>
      <w:marRight w:val="0"/>
      <w:marTop w:val="0"/>
      <w:marBottom w:val="0"/>
      <w:divBdr>
        <w:top w:val="none" w:sz="0" w:space="0" w:color="auto"/>
        <w:left w:val="none" w:sz="0" w:space="0" w:color="auto"/>
        <w:bottom w:val="none" w:sz="0" w:space="0" w:color="auto"/>
        <w:right w:val="none" w:sz="0" w:space="0" w:color="auto"/>
      </w:divBdr>
    </w:div>
    <w:div w:id="357779098">
      <w:bodyDiv w:val="1"/>
      <w:marLeft w:val="0"/>
      <w:marRight w:val="0"/>
      <w:marTop w:val="0"/>
      <w:marBottom w:val="0"/>
      <w:divBdr>
        <w:top w:val="none" w:sz="0" w:space="0" w:color="auto"/>
        <w:left w:val="none" w:sz="0" w:space="0" w:color="auto"/>
        <w:bottom w:val="none" w:sz="0" w:space="0" w:color="auto"/>
        <w:right w:val="none" w:sz="0" w:space="0" w:color="auto"/>
      </w:divBdr>
    </w:div>
    <w:div w:id="742990212">
      <w:bodyDiv w:val="1"/>
      <w:marLeft w:val="0"/>
      <w:marRight w:val="0"/>
      <w:marTop w:val="0"/>
      <w:marBottom w:val="0"/>
      <w:divBdr>
        <w:top w:val="none" w:sz="0" w:space="0" w:color="auto"/>
        <w:left w:val="none" w:sz="0" w:space="0" w:color="auto"/>
        <w:bottom w:val="none" w:sz="0" w:space="0" w:color="auto"/>
        <w:right w:val="none" w:sz="0" w:space="0" w:color="auto"/>
      </w:divBdr>
    </w:div>
    <w:div w:id="993726166">
      <w:bodyDiv w:val="1"/>
      <w:marLeft w:val="0"/>
      <w:marRight w:val="0"/>
      <w:marTop w:val="0"/>
      <w:marBottom w:val="0"/>
      <w:divBdr>
        <w:top w:val="none" w:sz="0" w:space="0" w:color="auto"/>
        <w:left w:val="none" w:sz="0" w:space="0" w:color="auto"/>
        <w:bottom w:val="none" w:sz="0" w:space="0" w:color="auto"/>
        <w:right w:val="none" w:sz="0" w:space="0" w:color="auto"/>
      </w:divBdr>
    </w:div>
    <w:div w:id="1008215759">
      <w:bodyDiv w:val="1"/>
      <w:marLeft w:val="0"/>
      <w:marRight w:val="0"/>
      <w:marTop w:val="0"/>
      <w:marBottom w:val="0"/>
      <w:divBdr>
        <w:top w:val="none" w:sz="0" w:space="0" w:color="auto"/>
        <w:left w:val="none" w:sz="0" w:space="0" w:color="auto"/>
        <w:bottom w:val="none" w:sz="0" w:space="0" w:color="auto"/>
        <w:right w:val="none" w:sz="0" w:space="0" w:color="auto"/>
      </w:divBdr>
    </w:div>
    <w:div w:id="1108430189">
      <w:bodyDiv w:val="1"/>
      <w:marLeft w:val="0"/>
      <w:marRight w:val="0"/>
      <w:marTop w:val="0"/>
      <w:marBottom w:val="0"/>
      <w:divBdr>
        <w:top w:val="none" w:sz="0" w:space="0" w:color="auto"/>
        <w:left w:val="none" w:sz="0" w:space="0" w:color="auto"/>
        <w:bottom w:val="none" w:sz="0" w:space="0" w:color="auto"/>
        <w:right w:val="none" w:sz="0" w:space="0" w:color="auto"/>
      </w:divBdr>
    </w:div>
    <w:div w:id="1180238150">
      <w:bodyDiv w:val="1"/>
      <w:marLeft w:val="0"/>
      <w:marRight w:val="0"/>
      <w:marTop w:val="0"/>
      <w:marBottom w:val="0"/>
      <w:divBdr>
        <w:top w:val="none" w:sz="0" w:space="0" w:color="auto"/>
        <w:left w:val="none" w:sz="0" w:space="0" w:color="auto"/>
        <w:bottom w:val="none" w:sz="0" w:space="0" w:color="auto"/>
        <w:right w:val="none" w:sz="0" w:space="0" w:color="auto"/>
      </w:divBdr>
    </w:div>
    <w:div w:id="1525746716">
      <w:bodyDiv w:val="1"/>
      <w:marLeft w:val="0"/>
      <w:marRight w:val="0"/>
      <w:marTop w:val="0"/>
      <w:marBottom w:val="0"/>
      <w:divBdr>
        <w:top w:val="none" w:sz="0" w:space="0" w:color="auto"/>
        <w:left w:val="none" w:sz="0" w:space="0" w:color="auto"/>
        <w:bottom w:val="none" w:sz="0" w:space="0" w:color="auto"/>
        <w:right w:val="none" w:sz="0" w:space="0" w:color="auto"/>
      </w:divBdr>
    </w:div>
    <w:div w:id="1724055910">
      <w:bodyDiv w:val="1"/>
      <w:marLeft w:val="0"/>
      <w:marRight w:val="0"/>
      <w:marTop w:val="0"/>
      <w:marBottom w:val="0"/>
      <w:divBdr>
        <w:top w:val="none" w:sz="0" w:space="0" w:color="auto"/>
        <w:left w:val="none" w:sz="0" w:space="0" w:color="auto"/>
        <w:bottom w:val="none" w:sz="0" w:space="0" w:color="auto"/>
        <w:right w:val="none" w:sz="0" w:space="0" w:color="auto"/>
      </w:divBdr>
    </w:div>
    <w:div w:id="2045984363">
      <w:bodyDiv w:val="1"/>
      <w:marLeft w:val="0"/>
      <w:marRight w:val="0"/>
      <w:marTop w:val="0"/>
      <w:marBottom w:val="0"/>
      <w:divBdr>
        <w:top w:val="none" w:sz="0" w:space="0" w:color="auto"/>
        <w:left w:val="none" w:sz="0" w:space="0" w:color="auto"/>
        <w:bottom w:val="none" w:sz="0" w:space="0" w:color="auto"/>
        <w:right w:val="none" w:sz="0" w:space="0" w:color="auto"/>
      </w:divBdr>
    </w:div>
    <w:div w:id="205542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n.lucas@msd.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B5916-520C-4605-8C23-F8A8B92B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3544</Words>
  <Characters>18305</Characters>
  <Application>Microsoft Office Word</Application>
  <DocSecurity>0</DocSecurity>
  <Lines>152</Lines>
  <Paragraphs>43</Paragraphs>
  <ScaleCrop>false</ScaleCrop>
  <Company/>
  <LinksUpToDate>false</LinksUpToDate>
  <CharactersWithSpaces>21806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Emma Gordon</cp:lastModifiedBy>
  <cp:revision>5</cp:revision>
  <cp:lastPrinted>2023-03-14T10:03:00Z</cp:lastPrinted>
  <dcterms:created xsi:type="dcterms:W3CDTF">2023-03-14T09:40:00Z</dcterms:created>
  <dcterms:modified xsi:type="dcterms:W3CDTF">2023-04-21T10:36:00Z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2023-03-14T09:54:37Z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b633c700-1152-4e96-ac13-a2fc21d87323</vt:lpwstr>
  </property>
  <property fmtid="{D5CDD505-2E9C-101B-9397-08002B2CF9AE}" pid="8" name="MSIP_Label_c69d85d5-6d9e-4305-a294-1f636ec0f2d6_ContentBits">
    <vt:lpwstr>0</vt:lpwstr>
  </property>
</Properties>
</file>