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7D24" w14:textId="140E6BEB" w:rsidR="00593F3D" w:rsidRPr="0043022B" w:rsidRDefault="00593F3D" w:rsidP="063FE9B4">
      <w:pPr>
        <w:rPr>
          <w:rFonts w:ascii="Arial" w:hAnsi="Arial" w:cs="Arial"/>
          <w:sz w:val="20"/>
          <w:szCs w:val="20"/>
        </w:rPr>
      </w:pPr>
      <w:r w:rsidRPr="25301341">
        <w:rPr>
          <w:rFonts w:ascii="Arial" w:hAnsi="Arial" w:cs="Arial"/>
          <w:sz w:val="20"/>
          <w:szCs w:val="20"/>
        </w:rPr>
        <w:t xml:space="preserve">Sent by e-mail only: </w:t>
      </w:r>
      <w:proofErr w:type="spellStart"/>
      <w:r w:rsidR="03ED4113" w:rsidRPr="008F0C2B">
        <w:rPr>
          <w:rFonts w:ascii="Arial" w:hAnsi="Arial" w:cs="Arial"/>
          <w:sz w:val="20"/>
          <w:szCs w:val="20"/>
          <w:highlight w:val="black"/>
        </w:rPr>
        <w:t>xxxxxxxxxxxxxxxxxxxxxxxxxxxxxxxxxxxxxx</w:t>
      </w:r>
      <w:proofErr w:type="spellEnd"/>
      <w:r w:rsidR="03ED4113" w:rsidRPr="008F0C2B">
        <w:rPr>
          <w:rFonts w:ascii="Arial" w:hAnsi="Arial" w:cs="Arial"/>
          <w:sz w:val="20"/>
          <w:szCs w:val="20"/>
          <w:highlight w:val="black"/>
        </w:rPr>
        <w:t xml:space="preserve"> </w:t>
      </w:r>
      <w:proofErr w:type="spellStart"/>
      <w:r w:rsidR="03ED4113" w:rsidRPr="008F0C2B">
        <w:rPr>
          <w:rFonts w:ascii="Arial" w:hAnsi="Arial" w:cs="Arial"/>
          <w:sz w:val="20"/>
          <w:szCs w:val="20"/>
          <w:highlight w:val="black"/>
        </w:rPr>
        <w:t>xxxxxxxxxxxxxxxxxxxx</w:t>
      </w:r>
      <w:proofErr w:type="spellEnd"/>
      <w:r w:rsidR="03ED4113" w:rsidRPr="008F0C2B">
        <w:rPr>
          <w:rFonts w:ascii="Arial" w:hAnsi="Arial" w:cs="Arial"/>
          <w:sz w:val="20"/>
          <w:szCs w:val="20"/>
          <w:highlight w:val="black"/>
        </w:rPr>
        <w:t xml:space="preserve"> </w:t>
      </w:r>
      <w:proofErr w:type="spellStart"/>
      <w:r w:rsidR="03ED4113" w:rsidRPr="008F0C2B">
        <w:rPr>
          <w:rFonts w:ascii="Arial" w:hAnsi="Arial" w:cs="Arial"/>
          <w:sz w:val="20"/>
          <w:szCs w:val="20"/>
          <w:highlight w:val="black"/>
        </w:rPr>
        <w:t>xxxxxxxxxxxxxxxxxxxxxx</w:t>
      </w:r>
      <w:proofErr w:type="spellEnd"/>
    </w:p>
    <w:p w14:paraId="76F7618A" w14:textId="4000CDC9" w:rsidR="008F4003" w:rsidRPr="008F4003" w:rsidRDefault="008F4003" w:rsidP="008F4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63FE9B4">
        <w:rPr>
          <w:rFonts w:ascii="Arial" w:hAnsi="Arial" w:cs="Arial"/>
          <w:sz w:val="20"/>
          <w:szCs w:val="20"/>
        </w:rPr>
        <w:t>Breast Cancer Now and UK</w:t>
      </w:r>
      <w:r w:rsidR="499F1986" w:rsidRPr="063FE9B4">
        <w:rPr>
          <w:rFonts w:ascii="Arial" w:hAnsi="Arial" w:cs="Arial"/>
          <w:sz w:val="20"/>
          <w:szCs w:val="20"/>
        </w:rPr>
        <w:t>B</w:t>
      </w:r>
      <w:r w:rsidRPr="063FE9B4">
        <w:rPr>
          <w:rFonts w:ascii="Arial" w:hAnsi="Arial" w:cs="Arial"/>
          <w:sz w:val="20"/>
          <w:szCs w:val="20"/>
        </w:rPr>
        <w:t>CG</w:t>
      </w:r>
    </w:p>
    <w:p w14:paraId="0B65D3F6" w14:textId="77777777" w:rsidR="008F4003" w:rsidRPr="008F4003" w:rsidRDefault="008F4003" w:rsidP="008F4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003">
        <w:rPr>
          <w:rFonts w:ascii="Arial" w:hAnsi="Arial" w:cs="Arial"/>
          <w:sz w:val="20"/>
          <w:szCs w:val="20"/>
        </w:rPr>
        <w:t>Ibex House</w:t>
      </w:r>
    </w:p>
    <w:p w14:paraId="5C813C56" w14:textId="77777777" w:rsidR="008F4003" w:rsidRPr="008F4003" w:rsidRDefault="008F4003" w:rsidP="008F4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003">
        <w:rPr>
          <w:rFonts w:ascii="Arial" w:hAnsi="Arial" w:cs="Arial"/>
          <w:sz w:val="20"/>
          <w:szCs w:val="20"/>
        </w:rPr>
        <w:t xml:space="preserve">42-47 </w:t>
      </w:r>
      <w:proofErr w:type="spellStart"/>
      <w:r w:rsidRPr="008F4003">
        <w:rPr>
          <w:rFonts w:ascii="Arial" w:hAnsi="Arial" w:cs="Arial"/>
          <w:sz w:val="20"/>
          <w:szCs w:val="20"/>
        </w:rPr>
        <w:t>Minories</w:t>
      </w:r>
      <w:proofErr w:type="spellEnd"/>
    </w:p>
    <w:p w14:paraId="64F4A361" w14:textId="77777777" w:rsidR="008F4003" w:rsidRPr="008F4003" w:rsidRDefault="008F4003" w:rsidP="008F4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003">
        <w:rPr>
          <w:rFonts w:ascii="Arial" w:hAnsi="Arial" w:cs="Arial"/>
          <w:sz w:val="20"/>
          <w:szCs w:val="20"/>
        </w:rPr>
        <w:t>London</w:t>
      </w:r>
    </w:p>
    <w:p w14:paraId="182CAEE9" w14:textId="77777777" w:rsidR="008F4003" w:rsidRPr="008F4003" w:rsidRDefault="008F4003" w:rsidP="008F40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4003">
        <w:rPr>
          <w:rFonts w:ascii="Arial" w:hAnsi="Arial" w:cs="Arial"/>
          <w:sz w:val="20"/>
          <w:szCs w:val="20"/>
        </w:rPr>
        <w:t>EC3N 1DY</w:t>
      </w:r>
    </w:p>
    <w:p w14:paraId="799D8680" w14:textId="77777777" w:rsidR="00F24B1D" w:rsidRPr="0043022B" w:rsidRDefault="00F24B1D">
      <w:pPr>
        <w:rPr>
          <w:rFonts w:ascii="Arial" w:hAnsi="Arial" w:cs="Arial"/>
          <w:sz w:val="20"/>
          <w:szCs w:val="20"/>
        </w:rPr>
      </w:pPr>
    </w:p>
    <w:p w14:paraId="1F256B99" w14:textId="77777777" w:rsidR="00F24B1D" w:rsidRPr="0043022B" w:rsidRDefault="00F24B1D">
      <w:pPr>
        <w:rPr>
          <w:rFonts w:ascii="Arial" w:hAnsi="Arial" w:cs="Arial"/>
          <w:sz w:val="20"/>
          <w:szCs w:val="20"/>
        </w:rPr>
      </w:pPr>
    </w:p>
    <w:p w14:paraId="54B81DF3" w14:textId="3EB074E9" w:rsidR="3470915A" w:rsidRDefault="3470915A" w:rsidP="063FE9B4">
      <w:r w:rsidRPr="063FE9B4">
        <w:rPr>
          <w:rFonts w:ascii="Arial" w:hAnsi="Arial" w:cs="Arial"/>
          <w:sz w:val="20"/>
          <w:szCs w:val="20"/>
        </w:rPr>
        <w:t>Thursday 18 April 2024</w:t>
      </w:r>
    </w:p>
    <w:p w14:paraId="15532A62" w14:textId="77777777" w:rsidR="00B737D4" w:rsidRPr="0043022B" w:rsidRDefault="00B737D4" w:rsidP="00B737D4">
      <w:pPr>
        <w:rPr>
          <w:rStyle w:val="Hyperlink"/>
          <w:rFonts w:ascii="Arial" w:hAnsi="Arial" w:cs="Arial"/>
          <w:sz w:val="20"/>
          <w:szCs w:val="20"/>
        </w:rPr>
      </w:pPr>
    </w:p>
    <w:p w14:paraId="47BE397A" w14:textId="146311EC" w:rsidR="00F24B1D" w:rsidRPr="0043022B" w:rsidRDefault="00F24B1D" w:rsidP="00F24B1D">
      <w:pPr>
        <w:ind w:left="426" w:right="468" w:hanging="426"/>
        <w:jc w:val="both"/>
        <w:rPr>
          <w:rFonts w:ascii="Arial" w:hAnsi="Arial" w:cs="Arial"/>
          <w:noProof/>
          <w:spacing w:val="-3"/>
          <w:sz w:val="20"/>
          <w:szCs w:val="20"/>
          <w:lang w:eastAsia="en-GB"/>
        </w:rPr>
      </w:pPr>
      <w:bookmarkStart w:id="0" w:name="deartext"/>
      <w:r w:rsidRPr="063FE9B4">
        <w:rPr>
          <w:rFonts w:ascii="Arial" w:hAnsi="Arial" w:cs="Arial"/>
          <w:sz w:val="20"/>
          <w:szCs w:val="20"/>
        </w:rPr>
        <w:t>Dear</w:t>
      </w:r>
      <w:bookmarkEnd w:id="0"/>
      <w:r w:rsidRPr="063FE9B4">
        <w:rPr>
          <w:rFonts w:ascii="Arial" w:hAnsi="Arial" w:cs="Arial"/>
          <w:sz w:val="20"/>
          <w:szCs w:val="20"/>
        </w:rPr>
        <w:t xml:space="preserve"> </w:t>
      </w:r>
      <w:bookmarkStart w:id="1" w:name="Sal"/>
      <w:bookmarkEnd w:id="1"/>
      <w:r w:rsidR="008F4003" w:rsidRPr="063FE9B4">
        <w:rPr>
          <w:rFonts w:ascii="Arial" w:hAnsi="Arial" w:cs="Arial"/>
          <w:sz w:val="20"/>
          <w:szCs w:val="20"/>
        </w:rPr>
        <w:t>Breast Cancer Now and UKB</w:t>
      </w:r>
      <w:r w:rsidR="3D15FC8B" w:rsidRPr="063FE9B4">
        <w:rPr>
          <w:rFonts w:ascii="Arial" w:hAnsi="Arial" w:cs="Arial"/>
          <w:sz w:val="20"/>
          <w:szCs w:val="20"/>
        </w:rPr>
        <w:t>C</w:t>
      </w:r>
      <w:r w:rsidR="008F4003" w:rsidRPr="063FE9B4">
        <w:rPr>
          <w:rFonts w:ascii="Arial" w:hAnsi="Arial" w:cs="Arial"/>
          <w:sz w:val="20"/>
          <w:szCs w:val="20"/>
        </w:rPr>
        <w:t>G</w:t>
      </w:r>
    </w:p>
    <w:p w14:paraId="67AFD44F" w14:textId="704F094B" w:rsidR="00F24B1D" w:rsidRPr="0043022B" w:rsidRDefault="00F24B1D" w:rsidP="00F24B1D">
      <w:pPr>
        <w:ind w:left="426" w:right="468" w:hanging="426"/>
        <w:jc w:val="both"/>
        <w:rPr>
          <w:rFonts w:ascii="Arial" w:hAnsi="Arial" w:cs="Arial"/>
          <w:b/>
          <w:sz w:val="20"/>
          <w:szCs w:val="20"/>
        </w:rPr>
      </w:pPr>
      <w:r w:rsidRPr="0043022B">
        <w:rPr>
          <w:rFonts w:ascii="Arial" w:hAnsi="Arial" w:cs="Arial"/>
          <w:noProof/>
          <w:color w:val="333333"/>
          <w:sz w:val="20"/>
          <w:szCs w:val="20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351047" wp14:editId="64D85384">
                <wp:simplePos x="0" y="0"/>
                <wp:positionH relativeFrom="column">
                  <wp:posOffset>-805815</wp:posOffset>
                </wp:positionH>
                <wp:positionV relativeFrom="paragraph">
                  <wp:posOffset>255270</wp:posOffset>
                </wp:positionV>
                <wp:extent cx="819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505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336DF51">
              <v:line id="Straight Connector 2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505050" strokeweight=".25pt" from="-63.45pt,20.1pt" to="-5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kzrwEAAFIDAAAOAAAAZHJzL2Uyb0RvYy54bWysU8tu2zAQvBfoPxC815RSpE0FyznESC9B&#10;GyBN72uKlIjyBS5ryX/fJe04aXsLAgPEkrsezgxH6+vFWbZXCU3wPW9XDWfKyzAYP/b88cfthyvO&#10;MIMfwAaven5QyK8379+t59ipizAFO6jECMRjN8eeTznHTgiUk3KAqxCVp6YOyUGmbRrFkGAmdGfF&#10;RdN8EnNIQ0xBKkQ63R6bfFPxtVYyf9caVWa258Qt1zXVdVdWsVlDNyaIk5EnGvAKFg6Mp0vPUFvI&#10;wH4n8x+UMzIFDDqvZHAiaG2kqhpITdv8o+ZhgqiqFjIH49kmfDtY+W1/4+9ToS4X/xDvgvyFZIqY&#10;I3bnZtlgPI4tOjmmrYk/6b2rZlLBlmrp4WypWjKTdHjVfmkvOZNPHQFdASj3xYT5qwqOlaLn1vii&#10;FTrY32EuFJ5HyrEPt8ba+l7Ws7nnH9vPBRkoNdpCptLFoefoR87AjhRHmVNFxGDNUP5dcDCNuxub&#10;2B4oEpdN+ZUU0G1/jRVSW8DpOFdbpzHrC4yq4ToxffanVLswHO7Tk4n0cBX9FLKSjJd7ql9+Cps/&#10;AAAA//8DAFBLAwQUAAYACAAAACEA2X1V2eAAAAALAQAADwAAAGRycy9kb3ducmV2LnhtbEyPwUrD&#10;QBCG74LvsIzgLd0klKAxmyKioB60toX2uM2OSWh2Nuxu2/j2jnjQ48x8/PP91WKygzihD70jBdks&#10;BYHUONNTq2CzfkpuQISoyejBESr4wgCL+vKi0qVxZ/rA0yq2gkMolFpBF+NYShmaDq0OMzci8e3T&#10;easjj76Vxuszh9tB5mlaSKt74g+dHvGhw+awOloFb6+7x/fG2UPhafmyzfvlevfcKnV9Nd3fgYg4&#10;xT8YfvRZHWp22rsjmSAGBUmWF7fMKpinOQgmkiybc73970bWlfzfof4GAAD//wMAUEsBAi0AFAAG&#10;AAgAAAAhALaDOJL+AAAA4QEAABMAAAAAAAAAAAAAAAAAAAAAAFtDb250ZW50X1R5cGVzXS54bWxQ&#10;SwECLQAUAAYACAAAACEAOP0h/9YAAACUAQAACwAAAAAAAAAAAAAAAAAvAQAAX3JlbHMvLnJlbHNQ&#10;SwECLQAUAAYACAAAACEAycI5M68BAABSAwAADgAAAAAAAAAAAAAAAAAuAgAAZHJzL2Uyb0RvYy54&#10;bWxQSwECLQAUAAYACAAAACEA2X1V2eAAAAALAQAADwAAAAAAAAAAAAAAAAAJBAAAZHJzL2Rvd25y&#10;ZXYueG1sUEsFBgAAAAAEAAQA8wAAABYFAAAAAA==&#10;" w14:anchorId="037EC9AF">
                <o:lock v:ext="edit" shapetype="f"/>
              </v:line>
            </w:pict>
          </mc:Fallback>
        </mc:AlternateContent>
      </w:r>
      <w:r w:rsidRPr="0043022B">
        <w:rPr>
          <w:rFonts w:ascii="Arial" w:hAnsi="Arial" w:cs="Arial"/>
          <w:b/>
          <w:spacing w:val="-3"/>
          <w:sz w:val="20"/>
          <w:szCs w:val="20"/>
        </w:rPr>
        <w:t xml:space="preserve">Re: </w:t>
      </w:r>
      <w:r w:rsidRPr="0043022B">
        <w:rPr>
          <w:rFonts w:ascii="Arial" w:hAnsi="Arial" w:cs="Arial"/>
          <w:b/>
          <w:sz w:val="20"/>
          <w:szCs w:val="20"/>
        </w:rPr>
        <w:t xml:space="preserve">Final </w:t>
      </w:r>
      <w:r w:rsidR="008F4003">
        <w:rPr>
          <w:rFonts w:ascii="Arial" w:hAnsi="Arial" w:cs="Arial"/>
          <w:b/>
          <w:sz w:val="20"/>
          <w:szCs w:val="20"/>
        </w:rPr>
        <w:t>Draft Guidance</w:t>
      </w:r>
      <w:r w:rsidRPr="0043022B">
        <w:rPr>
          <w:rFonts w:ascii="Arial" w:hAnsi="Arial" w:cs="Arial"/>
          <w:b/>
          <w:sz w:val="20"/>
          <w:szCs w:val="20"/>
        </w:rPr>
        <w:t xml:space="preserve"> — </w:t>
      </w:r>
      <w:r w:rsidR="008F4003" w:rsidRPr="008F4003">
        <w:rPr>
          <w:rFonts w:ascii="Arial" w:hAnsi="Arial" w:cs="Arial"/>
          <w:b/>
          <w:sz w:val="20"/>
          <w:szCs w:val="20"/>
        </w:rPr>
        <w:t xml:space="preserve">Trastuzumab </w:t>
      </w:r>
      <w:proofErr w:type="spellStart"/>
      <w:r w:rsidR="008F4003" w:rsidRPr="008F4003">
        <w:rPr>
          <w:rFonts w:ascii="Arial" w:hAnsi="Arial" w:cs="Arial"/>
          <w:b/>
          <w:sz w:val="20"/>
          <w:szCs w:val="20"/>
        </w:rPr>
        <w:t>deruxtecan</w:t>
      </w:r>
      <w:proofErr w:type="spellEnd"/>
      <w:r w:rsidR="008F4003" w:rsidRPr="008F4003">
        <w:rPr>
          <w:rFonts w:ascii="Arial" w:hAnsi="Arial" w:cs="Arial"/>
          <w:b/>
          <w:sz w:val="20"/>
          <w:szCs w:val="20"/>
        </w:rPr>
        <w:t xml:space="preserve"> for treating HER2-low metastatic or unresectable breast cancer after chemotherapy [ID3935]</w:t>
      </w:r>
    </w:p>
    <w:p w14:paraId="645F333C" w14:textId="7F441C15" w:rsidR="00DB178D" w:rsidRPr="00DB178D" w:rsidRDefault="00DB178D" w:rsidP="00DB178D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DB178D">
        <w:rPr>
          <w:rFonts w:ascii="Arial" w:eastAsia="Times New Roman" w:hAnsi="Arial" w:cs="Arial"/>
          <w:sz w:val="20"/>
          <w:szCs w:val="20"/>
        </w:rPr>
        <w:t xml:space="preserve">Thank you for your letter of </w:t>
      </w:r>
      <w:r w:rsidR="00BB16DB">
        <w:rPr>
          <w:rFonts w:ascii="Arial" w:eastAsia="Times New Roman" w:hAnsi="Arial" w:cs="Arial"/>
          <w:sz w:val="20"/>
          <w:szCs w:val="20"/>
        </w:rPr>
        <w:t>1</w:t>
      </w:r>
      <w:r w:rsidR="008F4003">
        <w:rPr>
          <w:rFonts w:ascii="Arial" w:eastAsia="Times New Roman" w:hAnsi="Arial" w:cs="Arial"/>
          <w:sz w:val="20"/>
          <w:szCs w:val="20"/>
        </w:rPr>
        <w:t>1</w:t>
      </w:r>
      <w:r w:rsidR="00BB16DB">
        <w:rPr>
          <w:rFonts w:ascii="Arial" w:eastAsia="Times New Roman" w:hAnsi="Arial" w:cs="Arial"/>
          <w:sz w:val="20"/>
          <w:szCs w:val="20"/>
        </w:rPr>
        <w:t xml:space="preserve"> </w:t>
      </w:r>
      <w:r w:rsidR="008F4003">
        <w:rPr>
          <w:rFonts w:ascii="Arial" w:eastAsia="Times New Roman" w:hAnsi="Arial" w:cs="Arial"/>
          <w:sz w:val="20"/>
          <w:szCs w:val="20"/>
        </w:rPr>
        <w:t>April</w:t>
      </w:r>
      <w:r w:rsidR="00BB16DB">
        <w:rPr>
          <w:rFonts w:ascii="Arial" w:eastAsia="Times New Roman" w:hAnsi="Arial" w:cs="Arial"/>
          <w:sz w:val="20"/>
          <w:szCs w:val="20"/>
        </w:rPr>
        <w:t xml:space="preserve"> 2024</w:t>
      </w:r>
      <w:r w:rsidRPr="00DB178D">
        <w:rPr>
          <w:rFonts w:ascii="Arial" w:eastAsia="Times New Roman" w:hAnsi="Arial" w:cs="Arial"/>
          <w:sz w:val="20"/>
          <w:szCs w:val="20"/>
        </w:rPr>
        <w:t xml:space="preserve"> responding to my initial scrutiny views.  This is my final decision on initial scrutiny.</w:t>
      </w:r>
    </w:p>
    <w:p w14:paraId="55B1D5E2" w14:textId="30545FDF" w:rsidR="00DB178D" w:rsidRPr="00DB178D" w:rsidRDefault="00DB178D" w:rsidP="00DB178D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DB178D">
        <w:rPr>
          <w:rFonts w:ascii="Arial" w:eastAsia="Times New Roman" w:hAnsi="Arial" w:cs="Arial"/>
          <w:sz w:val="20"/>
          <w:szCs w:val="20"/>
        </w:rPr>
        <w:t xml:space="preserve">I </w:t>
      </w:r>
      <w:r w:rsidR="00BB16DB">
        <w:rPr>
          <w:rFonts w:ascii="Arial" w:eastAsia="Times New Roman" w:hAnsi="Arial" w:cs="Arial"/>
          <w:sz w:val="20"/>
          <w:szCs w:val="20"/>
        </w:rPr>
        <w:t xml:space="preserve">assess </w:t>
      </w:r>
      <w:r w:rsidR="008F4003">
        <w:rPr>
          <w:rFonts w:ascii="Arial" w:eastAsia="Times New Roman" w:hAnsi="Arial" w:cs="Arial"/>
          <w:sz w:val="20"/>
          <w:szCs w:val="20"/>
        </w:rPr>
        <w:t>you</w:t>
      </w:r>
      <w:r w:rsidR="00565543">
        <w:rPr>
          <w:rFonts w:ascii="Arial" w:eastAsia="Times New Roman" w:hAnsi="Arial" w:cs="Arial"/>
          <w:sz w:val="20"/>
          <w:szCs w:val="20"/>
        </w:rPr>
        <w:t>r</w:t>
      </w:r>
      <w:r w:rsidR="008F4003">
        <w:rPr>
          <w:rFonts w:ascii="Arial" w:eastAsia="Times New Roman" w:hAnsi="Arial" w:cs="Arial"/>
          <w:sz w:val="20"/>
          <w:szCs w:val="20"/>
        </w:rPr>
        <w:t xml:space="preserve"> sole appeal point below.</w:t>
      </w:r>
    </w:p>
    <w:p w14:paraId="4710A553" w14:textId="308FE8CA" w:rsidR="00DB178D" w:rsidRPr="00243EF5" w:rsidRDefault="00DB178D" w:rsidP="00DB178D">
      <w:pPr>
        <w:pStyle w:val="Paragraph"/>
        <w:numPr>
          <w:ilvl w:val="0"/>
          <w:numId w:val="0"/>
        </w:numPr>
        <w:spacing w:before="120"/>
        <w:jc w:val="both"/>
        <w:rPr>
          <w:rFonts w:cs="Arial"/>
          <w:b/>
          <w:i/>
          <w:sz w:val="20"/>
          <w:szCs w:val="20"/>
        </w:rPr>
      </w:pPr>
      <w:r w:rsidRPr="00243EF5">
        <w:rPr>
          <w:rFonts w:cs="Arial"/>
          <w:b/>
          <w:i/>
          <w:sz w:val="20"/>
          <w:szCs w:val="20"/>
        </w:rPr>
        <w:t>Ground 2:</w:t>
      </w:r>
      <w:r w:rsidRPr="00243EF5">
        <w:rPr>
          <w:rFonts w:cs="Arial"/>
          <w:i/>
          <w:sz w:val="20"/>
          <w:szCs w:val="20"/>
        </w:rPr>
        <w:t xml:space="preserve"> </w:t>
      </w:r>
      <w:r w:rsidRPr="00243EF5">
        <w:rPr>
          <w:rFonts w:cs="Arial"/>
          <w:b/>
          <w:i/>
          <w:sz w:val="20"/>
          <w:szCs w:val="20"/>
        </w:rPr>
        <w:t>the recommendation is unreasonable in the light of the evidence submitted to NICE</w:t>
      </w:r>
    </w:p>
    <w:p w14:paraId="41760CE2" w14:textId="66530DF7" w:rsidR="00BB16DB" w:rsidRDefault="00BB16DB" w:rsidP="00D770E0">
      <w:pPr>
        <w:spacing w:before="120" w:after="240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BB16DB">
        <w:rPr>
          <w:rFonts w:ascii="Arial" w:hAnsi="Arial" w:cs="Arial"/>
          <w:b/>
          <w:sz w:val="20"/>
          <w:szCs w:val="20"/>
          <w:u w:val="single"/>
        </w:rPr>
        <w:t xml:space="preserve">Appeal </w:t>
      </w:r>
      <w:proofErr w:type="gramStart"/>
      <w:r w:rsidRPr="00BB16DB">
        <w:rPr>
          <w:rFonts w:ascii="Arial" w:hAnsi="Arial" w:cs="Arial"/>
          <w:b/>
          <w:sz w:val="20"/>
          <w:szCs w:val="20"/>
          <w:u w:val="single"/>
        </w:rPr>
        <w:t>point</w:t>
      </w:r>
      <w:proofErr w:type="gramEnd"/>
      <w:r w:rsidRPr="00BB16DB">
        <w:rPr>
          <w:rFonts w:ascii="Arial" w:hAnsi="Arial" w:cs="Arial"/>
          <w:b/>
          <w:sz w:val="20"/>
          <w:szCs w:val="20"/>
          <w:u w:val="single"/>
        </w:rPr>
        <w:t xml:space="preserve"> 2.1: </w:t>
      </w:r>
      <w:r w:rsidR="008F4003" w:rsidRPr="008F4003">
        <w:rPr>
          <w:rFonts w:ascii="Arial" w:hAnsi="Arial" w:cs="Arial"/>
          <w:b/>
          <w:sz w:val="20"/>
          <w:szCs w:val="20"/>
          <w:u w:val="single"/>
        </w:rPr>
        <w:t>The recommendation is unreasonable in the light of the evidence submitted to NICE concerning overall survival extrapolation</w:t>
      </w:r>
    </w:p>
    <w:p w14:paraId="5B6F9D20" w14:textId="4376BFA2" w:rsidR="00CD74A1" w:rsidRDefault="00235FB2" w:rsidP="00D770E0">
      <w:pPr>
        <w:spacing w:before="120" w:after="24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I</w:t>
      </w:r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n my letter of </w:t>
      </w:r>
      <w:r w:rsidR="008F400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26</w:t>
      </w:r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8F400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March </w:t>
      </w:r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2024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,</w:t>
      </w:r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I explained </w:t>
      </w:r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why I </w:t>
      </w:r>
      <w:r w:rsidR="00CD74A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was </w:t>
      </w:r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not minded </w:t>
      </w:r>
      <w:proofErr w:type="gramStart"/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to refer</w:t>
      </w:r>
      <w:proofErr w:type="gramEnd"/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this point to the </w:t>
      </w:r>
      <w:r w:rsidR="005922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Appeal </w:t>
      </w:r>
      <w:r w:rsidR="00AE670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Panel. </w:t>
      </w:r>
      <w:r w:rsidR="008F400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W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ith reference to the Committee's reasoning,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I described 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why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, from your appeal letter,</w:t>
      </w:r>
      <w:r w:rsidR="00CD74A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I was not persuaded that the Committee's preference for the modified gamma distribution for modelling overall survival for trastuzumab </w:t>
      </w:r>
      <w:proofErr w:type="spellStart"/>
      <w:r w:rsidR="00CD74A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deruxtecan</w:t>
      </w:r>
      <w:proofErr w:type="spellEnd"/>
      <w:r w:rsidR="00CD74A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was arguably unreasonable </w:t>
      </w:r>
      <w:proofErr w:type="gramStart"/>
      <w:r w:rsidR="00CD74A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in light of</w:t>
      </w:r>
      <w:proofErr w:type="gramEnd"/>
      <w:r w:rsidR="00CD74A1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the evidence before it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.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That was, at least in part, because of the Committee's concerns about the log logistic distribution, which appeared to me reasonable. </w:t>
      </w:r>
    </w:p>
    <w:p w14:paraId="007E0D17" w14:textId="3DA27B99" w:rsidR="008F4003" w:rsidRDefault="008F4003" w:rsidP="00D770E0">
      <w:pPr>
        <w:spacing w:before="120" w:after="24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I </w:t>
      </w:r>
      <w:r w:rsidR="005922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have considered </w:t>
      </w:r>
      <w:r w:rsidR="009B0DD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your</w:t>
      </w:r>
      <w:r w:rsidR="005922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specific </w:t>
      </w:r>
      <w:r w:rsidR="0056554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argument and </w:t>
      </w:r>
      <w:r w:rsidR="009B0DD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the </w:t>
      </w:r>
      <w:r w:rsidR="0056554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evidence</w:t>
      </w:r>
      <w:r w:rsidR="005922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570BC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you have </w:t>
      </w:r>
      <w:r w:rsidR="0056554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provided</w:t>
      </w:r>
      <w:r w:rsidR="005922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in your letter </w:t>
      </w:r>
      <w:r w:rsidR="00570BC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of 11 April 2024 </w:t>
      </w:r>
      <w:r w:rsidR="005922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but remain of the view that this appeal point should not proceed to </w:t>
      </w:r>
      <w:r w:rsidR="00235FB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a</w:t>
      </w:r>
      <w:r w:rsidR="0059228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hearing.</w:t>
      </w:r>
    </w:p>
    <w:p w14:paraId="699226F3" w14:textId="1E4DB612" w:rsidR="00B60BD4" w:rsidRDefault="0059228F" w:rsidP="00B60BD4">
      <w:pPr>
        <w:spacing w:before="120" w:after="24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I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understand 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you</w:t>
      </w:r>
      <w:r w:rsidR="00061CE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r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letter </w:t>
      </w:r>
      <w:r w:rsidR="00570BC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of 11 April 2024 </w:t>
      </w:r>
      <w:r w:rsidR="006643A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to </w:t>
      </w:r>
      <w:r w:rsidR="006B673E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argue that 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it was unreasonable for </w:t>
      </w:r>
      <w:r w:rsidR="0082229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the </w:t>
      </w:r>
      <w:r w:rsidR="00061CE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Committee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5062A0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to conclude</w:t>
      </w:r>
      <w:r w:rsidR="0082229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that</w:t>
      </w:r>
      <w:r w:rsidR="00061CE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BF3B0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a survival benefit lasting more than 10 years (as assumed by the</w:t>
      </w:r>
      <w:r w:rsidR="00BF3B02" w:rsidRPr="00BF3B0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log-logistic</w:t>
      </w:r>
      <w:r w:rsidR="00BF3B0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distribution) </w:t>
      </w:r>
      <w:r w:rsidR="00061CE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was clinically implausible. </w:t>
      </w:r>
      <w:r w:rsidR="006643A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I accept that the Committee reached that conclusion and</w:t>
      </w:r>
      <w:r w:rsidR="00235FB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, at least in part,</w:t>
      </w:r>
      <w:r w:rsidR="006643A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relied on it as a reason to prefer the modified gamma distribution.</w:t>
      </w:r>
      <w:r w:rsidR="00061CE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However, i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n 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support of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6643A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your refined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argument you rely sole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ly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on</w:t>
      </w:r>
      <w:r w:rsidR="00061CE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the report of the Lancet Breast Cancer Commission </w:t>
      </w:r>
      <w:r w:rsidR="0056554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(the "</w:t>
      </w:r>
      <w:r w:rsidR="00565543" w:rsidRPr="0056554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lang w:eastAsia="en-GB"/>
        </w:rPr>
        <w:t>Report</w:t>
      </w:r>
      <w:r w:rsidR="0056554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") </w:t>
      </w:r>
      <w:r w:rsidR="00061CE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which </w:t>
      </w:r>
      <w:r w:rsidR="006643A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remains under embargo</w:t>
      </w:r>
      <w:r w:rsidR="00235FB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at the time of writing</w:t>
      </w:r>
      <w:r w:rsidR="0082229C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.</w:t>
      </w:r>
      <w:r w:rsid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As explained in my initial scrutiny letter, f</w:t>
      </w:r>
      <w:r w:rsidR="006B673E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or a recommendation to be unreasonable </w:t>
      </w:r>
      <w:proofErr w:type="spellStart"/>
      <w:r w:rsidR="006B673E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under ground</w:t>
      </w:r>
      <w:proofErr w:type="spellEnd"/>
      <w:r w:rsidR="006B673E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2, an appellant must demonstrate that </w:t>
      </w:r>
      <w:r w:rsidR="006B673E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lastRenderedPageBreak/>
        <w:t xml:space="preserve">it cannot reasonably be justified </w:t>
      </w:r>
      <w:r w:rsidR="006B673E" w:rsidRPr="007B17BC">
        <w:rPr>
          <w:rFonts w:ascii="Arial" w:eastAsia="Times New Roman" w:hAnsi="Arial" w:cs="Arial"/>
          <w:i/>
          <w:iCs/>
          <w:color w:val="0D0D0D" w:themeColor="text1" w:themeTint="F2"/>
          <w:sz w:val="20"/>
          <w:szCs w:val="20"/>
          <w:lang w:eastAsia="en-GB"/>
        </w:rPr>
        <w:t>in light of the evidence presented to the committee</w:t>
      </w:r>
      <w:r w:rsidR="006B673E" w:rsidRPr="006B673E">
        <w:rPr>
          <w:rStyle w:val="FootnoteReference"/>
          <w:rFonts w:cs="Arial"/>
        </w:rPr>
        <w:t xml:space="preserve"> </w:t>
      </w:r>
      <w:r w:rsidR="006B673E" w:rsidRPr="008E1E09">
        <w:rPr>
          <w:rStyle w:val="FootnoteReference"/>
          <w:rFonts w:cs="Arial"/>
        </w:rPr>
        <w:footnoteReference w:id="1"/>
      </w:r>
      <w:r w:rsidR="006643A4">
        <w:rPr>
          <w:rFonts w:cs="Arial"/>
        </w:rPr>
        <w:t xml:space="preserve">; </w:t>
      </w:r>
      <w:r w:rsidR="006643A4" w:rsidRPr="00E32E7D">
        <w:rPr>
          <w:rFonts w:ascii="Arial" w:hAnsi="Arial" w:cs="Arial"/>
          <w:sz w:val="20"/>
          <w:szCs w:val="20"/>
        </w:rPr>
        <w:t>t</w:t>
      </w:r>
      <w:r w:rsidR="006643A4" w:rsidRP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he Committee </w:t>
      </w:r>
      <w:r w:rsidR="006643A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in carrying out its task of</w:t>
      </w:r>
      <w:r w:rsidR="006643A4" w:rsidRP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evaluating a technology in respect of both clinical and cost effectiveness can do so only on the basis of the evidence that is presented to it</w:t>
      </w:r>
      <w:r w:rsidR="008374F8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. </w:t>
      </w:r>
      <w:r w:rsidR="006643A4">
        <w:rPr>
          <w:rFonts w:ascii="Arial" w:hAnsi="Arial" w:cs="Arial"/>
          <w:sz w:val="20"/>
          <w:szCs w:val="20"/>
        </w:rPr>
        <w:t>Therefore</w:t>
      </w:r>
      <w:r w:rsidR="000C5911">
        <w:rPr>
          <w:rFonts w:ascii="Arial" w:hAnsi="Arial" w:cs="Arial"/>
          <w:sz w:val="20"/>
          <w:szCs w:val="20"/>
        </w:rPr>
        <w:t>,</w:t>
      </w:r>
      <w:r w:rsidR="006643A4">
        <w:rPr>
          <w:rFonts w:ascii="Arial" w:hAnsi="Arial" w:cs="Arial"/>
          <w:sz w:val="20"/>
          <w:szCs w:val="20"/>
        </w:rPr>
        <w:t xml:space="preserve"> in order to refer your refined </w:t>
      </w:r>
      <w:proofErr w:type="gramStart"/>
      <w:r w:rsidR="006643A4">
        <w:rPr>
          <w:rFonts w:ascii="Arial" w:hAnsi="Arial" w:cs="Arial"/>
          <w:sz w:val="20"/>
          <w:szCs w:val="20"/>
        </w:rPr>
        <w:t>appeal</w:t>
      </w:r>
      <w:proofErr w:type="gramEnd"/>
      <w:r w:rsidR="006643A4">
        <w:rPr>
          <w:rFonts w:ascii="Arial" w:hAnsi="Arial" w:cs="Arial"/>
          <w:sz w:val="20"/>
          <w:szCs w:val="20"/>
        </w:rPr>
        <w:t xml:space="preserve"> point to an appeal panel I</w:t>
      </w:r>
      <w:r w:rsidR="00E32E7D">
        <w:rPr>
          <w:rFonts w:ascii="Arial" w:hAnsi="Arial" w:cs="Arial"/>
          <w:sz w:val="20"/>
          <w:szCs w:val="20"/>
        </w:rPr>
        <w:t xml:space="preserve"> would need to be persuaded that it is arguable that the Committee's conclusion </w:t>
      </w:r>
      <w:r w:rsidR="006643A4">
        <w:rPr>
          <w:rFonts w:ascii="Arial" w:hAnsi="Arial" w:cs="Arial"/>
          <w:sz w:val="20"/>
          <w:szCs w:val="20"/>
        </w:rPr>
        <w:t xml:space="preserve">was unreasonable </w:t>
      </w:r>
      <w:r w:rsidR="006643A4" w:rsidRPr="007B17BC">
        <w:rPr>
          <w:rFonts w:ascii="Arial" w:hAnsi="Arial" w:cs="Arial"/>
          <w:i/>
          <w:iCs/>
          <w:sz w:val="20"/>
          <w:szCs w:val="20"/>
        </w:rPr>
        <w:t>in light of the evidence that was in fact submitted to it</w:t>
      </w:r>
      <w:r w:rsidR="00B60BD4" w:rsidRP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.</w:t>
      </w:r>
      <w:r w:rsidR="00235FB2">
        <w:rPr>
          <w:rFonts w:ascii="Arial" w:hAnsi="Arial" w:cs="Arial"/>
          <w:sz w:val="20"/>
          <w:szCs w:val="20"/>
        </w:rPr>
        <w:t xml:space="preserve"> </w:t>
      </w:r>
      <w:r w:rsidR="00565543" w:rsidRP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It is my understanding that the Report </w:t>
      </w:r>
      <w:r w:rsidR="009B0DDF" w:rsidRP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was not </w:t>
      </w:r>
      <w:r w:rsidR="00235FB2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made </w:t>
      </w:r>
      <w:r w:rsidR="00565543" w:rsidRPr="00E32E7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available to the</w:t>
      </w:r>
      <w:r w:rsidR="0056554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Committee at the time of the appraisal (if this is incorrect, please </w:t>
      </w:r>
      <w:r w:rsidR="00AA4C3D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confirm</w:t>
      </w:r>
      <w:r w:rsidR="00565543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)</w:t>
      </w:r>
      <w:r w:rsidR="009B0DD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and therefore could not be </w:t>
      </w:r>
      <w:proofErr w:type="gramStart"/>
      <w:r w:rsidR="009B0DD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taken into account</w:t>
      </w:r>
      <w:proofErr w:type="gramEnd"/>
      <w:r w:rsidR="009B0DDF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in their decision making.  </w:t>
      </w:r>
    </w:p>
    <w:p w14:paraId="19D8B889" w14:textId="6871CBBB" w:rsidR="00F77074" w:rsidRDefault="00F77074" w:rsidP="00F77074">
      <w:pPr>
        <w:spacing w:before="120" w:after="240"/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>Therefore,</w:t>
      </w:r>
      <w:r w:rsidR="00B60BD4"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subject to confirmation from you within 7 days of this letter that the Report was in fact available and submitted to the Committee,</w:t>
      </w:r>
      <w:r>
        <w:rPr>
          <w:rFonts w:ascii="Arial" w:eastAsia="Times New Roman" w:hAnsi="Arial" w:cs="Arial"/>
          <w:color w:val="0D0D0D" w:themeColor="text1" w:themeTint="F2"/>
          <w:sz w:val="20"/>
          <w:szCs w:val="20"/>
          <w:lang w:eastAsia="en-GB"/>
        </w:rPr>
        <w:t xml:space="preserve"> I confirm that this point will not be referred to the Appeal Panel. </w:t>
      </w:r>
    </w:p>
    <w:p w14:paraId="2AADAF28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71051">
        <w:rPr>
          <w:rFonts w:ascii="Arial" w:eastAsia="Times New Roman" w:hAnsi="Arial" w:cs="Arial"/>
          <w:sz w:val="20"/>
          <w:szCs w:val="20"/>
          <w:u w:val="single"/>
        </w:rPr>
        <w:t>Conclusion</w:t>
      </w:r>
    </w:p>
    <w:p w14:paraId="00D8DA8B" w14:textId="7E6A5414" w:rsidR="00F77074" w:rsidRDefault="00F77074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the reasons set out above, I will not refer any appeal points for consideration at </w:t>
      </w:r>
      <w:r w:rsidR="00B60BD4">
        <w:rPr>
          <w:rFonts w:ascii="Arial" w:eastAsia="Times New Roman" w:hAnsi="Arial" w:cs="Arial"/>
          <w:sz w:val="20"/>
          <w:szCs w:val="20"/>
        </w:rPr>
        <w:t xml:space="preserve">an </w:t>
      </w:r>
      <w:r w:rsidR="00235FB2">
        <w:rPr>
          <w:rFonts w:ascii="Arial" w:eastAsia="Times New Roman" w:hAnsi="Arial" w:cs="Arial"/>
          <w:sz w:val="20"/>
          <w:szCs w:val="20"/>
        </w:rPr>
        <w:t xml:space="preserve">appeal </w:t>
      </w:r>
      <w:r>
        <w:rPr>
          <w:rFonts w:ascii="Arial" w:eastAsia="Times New Roman" w:hAnsi="Arial" w:cs="Arial"/>
          <w:sz w:val="20"/>
          <w:szCs w:val="20"/>
        </w:rPr>
        <w:t xml:space="preserve">hearing.  </w:t>
      </w:r>
      <w:r w:rsidR="006643A4">
        <w:rPr>
          <w:rFonts w:ascii="Arial" w:eastAsia="Times New Roman" w:hAnsi="Arial" w:cs="Arial"/>
          <w:sz w:val="20"/>
          <w:szCs w:val="20"/>
        </w:rPr>
        <w:t>Subject to the above, t</w:t>
      </w:r>
      <w:r>
        <w:rPr>
          <w:rFonts w:ascii="Arial" w:eastAsia="Times New Roman" w:hAnsi="Arial" w:cs="Arial"/>
          <w:sz w:val="20"/>
          <w:szCs w:val="20"/>
        </w:rPr>
        <w:t>his letter therefore brings NICE's internal appeal process to a close.</w:t>
      </w:r>
    </w:p>
    <w:p w14:paraId="12F2B947" w14:textId="50286F3D" w:rsidR="005A7A7D" w:rsidRPr="00771051" w:rsidRDefault="00F77074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Thank you for your comments and engagement </w:t>
      </w:r>
      <w:r w:rsidR="00235FB2">
        <w:rPr>
          <w:rFonts w:ascii="Arial" w:eastAsia="Times New Roman" w:hAnsi="Arial" w:cs="Arial"/>
          <w:sz w:val="20"/>
          <w:szCs w:val="20"/>
        </w:rPr>
        <w:t>in</w:t>
      </w:r>
      <w:r>
        <w:rPr>
          <w:rFonts w:ascii="Arial" w:eastAsia="Times New Roman" w:hAnsi="Arial" w:cs="Arial"/>
          <w:sz w:val="20"/>
          <w:szCs w:val="20"/>
        </w:rPr>
        <w:t xml:space="preserve"> the appeals process.</w:t>
      </w:r>
    </w:p>
    <w:p w14:paraId="04BAA200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63FE9B4">
        <w:rPr>
          <w:rFonts w:ascii="Arial" w:eastAsia="Times New Roman" w:hAnsi="Arial" w:cs="Arial"/>
          <w:sz w:val="20"/>
          <w:szCs w:val="20"/>
        </w:rPr>
        <w:t>Yours sincerely</w:t>
      </w:r>
    </w:p>
    <w:p w14:paraId="628EE356" w14:textId="62ED58E1" w:rsidR="1A62D28E" w:rsidRDefault="008F0C2B" w:rsidP="063FE9B4">
      <w:pPr>
        <w:spacing w:before="120" w:after="240"/>
        <w:jc w:val="both"/>
      </w:pPr>
      <w:r w:rsidRPr="008F0C2B">
        <w:rPr>
          <w:noProof/>
          <w:highlight w:val="black"/>
        </w:rPr>
        <w:t>XXXXXXXXXXXXXXXXXXXXX</w:t>
      </w:r>
      <w:r w:rsidR="1A62D28E">
        <w:br/>
      </w:r>
    </w:p>
    <w:p w14:paraId="06E59F3D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>Dr Mark Chakravarty</w:t>
      </w:r>
    </w:p>
    <w:p w14:paraId="321A9458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>Lead Non-Executive Director for Appeals &amp; Vice Chairman</w:t>
      </w:r>
    </w:p>
    <w:p w14:paraId="40B9BBC0" w14:textId="77777777" w:rsidR="005A7A7D" w:rsidRPr="00771051" w:rsidRDefault="005A7A7D" w:rsidP="005A7A7D">
      <w:pPr>
        <w:spacing w:before="120" w:after="240"/>
        <w:jc w:val="both"/>
        <w:rPr>
          <w:rFonts w:ascii="Arial" w:eastAsia="Times New Roman" w:hAnsi="Arial" w:cs="Arial"/>
          <w:sz w:val="20"/>
          <w:szCs w:val="20"/>
        </w:rPr>
      </w:pPr>
      <w:r w:rsidRPr="00771051">
        <w:rPr>
          <w:rFonts w:ascii="Arial" w:eastAsia="Times New Roman" w:hAnsi="Arial" w:cs="Arial"/>
          <w:sz w:val="20"/>
          <w:szCs w:val="20"/>
        </w:rPr>
        <w:t>National Institute for Health and Care Excellence</w:t>
      </w:r>
    </w:p>
    <w:p w14:paraId="03E7BAFA" w14:textId="4811D299" w:rsidR="000B36E1" w:rsidRPr="0043022B" w:rsidRDefault="000B36E1" w:rsidP="002B6A0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0B36E1" w:rsidRPr="0043022B" w:rsidSect="00C201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D757B" w14:textId="77777777" w:rsidR="00C20122" w:rsidRDefault="00C20122" w:rsidP="000B352B">
      <w:pPr>
        <w:spacing w:after="0" w:line="240" w:lineRule="auto"/>
      </w:pPr>
      <w:r>
        <w:separator/>
      </w:r>
    </w:p>
  </w:endnote>
  <w:endnote w:type="continuationSeparator" w:id="0">
    <w:p w14:paraId="503C7A4C" w14:textId="77777777" w:rsidR="00C20122" w:rsidRDefault="00C20122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58B5" w14:textId="77777777" w:rsidR="00BB16DB" w:rsidRDefault="00BB1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D323D" w14:textId="1CEBF2EA" w:rsidR="000B36E1" w:rsidRDefault="000B36E1" w:rsidP="000B36E1">
    <w:pPr>
      <w:pStyle w:val="Footer"/>
      <w:tabs>
        <w:tab w:val="clear" w:pos="4513"/>
        <w:tab w:val="clear" w:pos="9026"/>
        <w:tab w:val="left" w:pos="1758"/>
      </w:tabs>
      <w:rPr>
        <w:noProof/>
      </w:rPr>
    </w:pPr>
    <w:r>
      <w:tab/>
      <w:t xml:space="preserve">    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 w:rsidR="002B6A0D">
      <w:rPr>
        <w:noProof/>
      </w:rPr>
      <w:t>2</w:t>
    </w:r>
    <w:r>
      <w:rPr>
        <w:noProof/>
      </w:rPr>
      <w:fldChar w:fldCharType="end"/>
    </w:r>
  </w:p>
  <w:p w14:paraId="4B5AA96B" w14:textId="77777777" w:rsidR="000B36E1" w:rsidRDefault="000B36E1" w:rsidP="000B36E1">
    <w:pPr>
      <w:pStyle w:val="Footer"/>
      <w:tabs>
        <w:tab w:val="clear" w:pos="4513"/>
        <w:tab w:val="clear" w:pos="9026"/>
        <w:tab w:val="left" w:pos="175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3D9E9" w14:textId="65FFA284" w:rsidR="000B36E1" w:rsidRDefault="000B36E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B0A9499" wp14:editId="3FC21F28">
          <wp:simplePos x="0" y="0"/>
          <wp:positionH relativeFrom="margin">
            <wp:align>center</wp:align>
          </wp:positionH>
          <wp:positionV relativeFrom="margin">
            <wp:posOffset>8340560</wp:posOffset>
          </wp:positionV>
          <wp:extent cx="7000002" cy="509268"/>
          <wp:effectExtent l="0" t="0" r="0" b="5715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8552" w14:textId="77777777" w:rsidR="00C20122" w:rsidRDefault="00C20122" w:rsidP="000B352B">
      <w:pPr>
        <w:spacing w:after="0" w:line="240" w:lineRule="auto"/>
      </w:pPr>
      <w:r>
        <w:separator/>
      </w:r>
    </w:p>
  </w:footnote>
  <w:footnote w:type="continuationSeparator" w:id="0">
    <w:p w14:paraId="43CAECBA" w14:textId="77777777" w:rsidR="00C20122" w:rsidRDefault="00C20122" w:rsidP="000B352B">
      <w:pPr>
        <w:spacing w:after="0" w:line="240" w:lineRule="auto"/>
      </w:pPr>
      <w:r>
        <w:continuationSeparator/>
      </w:r>
    </w:p>
  </w:footnote>
  <w:footnote w:id="1">
    <w:p w14:paraId="43161D56" w14:textId="77777777" w:rsidR="006B673E" w:rsidRPr="00A10645" w:rsidRDefault="006B673E" w:rsidP="006B673E">
      <w:pPr>
        <w:pStyle w:val="FootnoteText"/>
        <w:rPr>
          <w:sz w:val="16"/>
          <w:szCs w:val="16"/>
        </w:rPr>
      </w:pPr>
      <w:r w:rsidRPr="00A10645">
        <w:rPr>
          <w:rStyle w:val="FootnoteReference"/>
          <w:sz w:val="16"/>
          <w:szCs w:val="16"/>
        </w:rPr>
        <w:footnoteRef/>
      </w:r>
      <w:r w:rsidRPr="00A10645">
        <w:rPr>
          <w:sz w:val="16"/>
          <w:szCs w:val="16"/>
        </w:rPr>
        <w:t xml:space="preserve"> See NICE's appeal process guide https://www.nice.org.uk/process/pmg41/chapter/making-an-appeal#what-is-the-scope-of-an-appeal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B8101" w14:textId="77777777" w:rsidR="00BB16DB" w:rsidRDefault="00BB1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30C4B" w14:textId="45456900" w:rsidR="009E2F15" w:rsidRPr="005E0434" w:rsidRDefault="009E2F15" w:rsidP="003A79BD">
    <w:pPr>
      <w:pStyle w:val="Header"/>
      <w:ind w:right="-1"/>
      <w:rPr>
        <w:rFonts w:ascii="Arial" w:hAnsi="Arial" w:cs="Arial"/>
        <w:color w:val="0E0E0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7012" w14:textId="503FBB81" w:rsidR="000B36E1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62336" behindDoc="0" locked="0" layoutInCell="1" allowOverlap="1" wp14:anchorId="607EDBB9" wp14:editId="5981AFF7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 w:rsidR="0003729F">
      <w:rPr>
        <w:rFonts w:ascii="Arial" w:hAnsi="Arial" w:cs="Arial"/>
        <w:color w:val="0E0E0E"/>
        <w:sz w:val="20"/>
        <w:szCs w:val="20"/>
      </w:rPr>
      <w:t>2</w:t>
    </w:r>
    <w:r w:rsidR="0003729F" w:rsidRPr="0003729F">
      <w:rPr>
        <w:rFonts w:ascii="Arial" w:hAnsi="Arial" w:cs="Arial"/>
        <w:color w:val="0E0E0E"/>
        <w:sz w:val="20"/>
        <w:szCs w:val="20"/>
        <w:vertAlign w:val="superscript"/>
      </w:rPr>
      <w:t>nd</w:t>
    </w:r>
    <w:r w:rsidR="0003729F">
      <w:rPr>
        <w:rFonts w:ascii="Arial" w:hAnsi="Arial" w:cs="Arial"/>
        <w:color w:val="0E0E0E"/>
        <w:sz w:val="20"/>
        <w:szCs w:val="20"/>
      </w:rPr>
      <w:t xml:space="preserve"> Floor</w:t>
    </w:r>
  </w:p>
  <w:p w14:paraId="3809122A" w14:textId="119E090B" w:rsidR="0003729F" w:rsidRPr="005E0434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>
      <w:rPr>
        <w:rFonts w:ascii="Arial" w:hAnsi="Arial" w:cs="Arial"/>
        <w:color w:val="0E0E0E"/>
        <w:sz w:val="20"/>
        <w:szCs w:val="20"/>
      </w:rPr>
      <w:t>2 Redm</w:t>
    </w:r>
    <w:r w:rsidR="00E67BD1">
      <w:rPr>
        <w:rFonts w:ascii="Arial" w:hAnsi="Arial" w:cs="Arial"/>
        <w:color w:val="0E0E0E"/>
        <w:sz w:val="20"/>
        <w:szCs w:val="20"/>
      </w:rPr>
      <w:t>an</w:t>
    </w:r>
    <w:r>
      <w:rPr>
        <w:rFonts w:ascii="Arial" w:hAnsi="Arial" w:cs="Arial"/>
        <w:color w:val="0E0E0E"/>
        <w:sz w:val="20"/>
        <w:szCs w:val="20"/>
      </w:rPr>
      <w:t xml:space="preserve"> Place</w:t>
    </w:r>
  </w:p>
  <w:p w14:paraId="49A5672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softHyphen/>
      <w:t>London</w:t>
    </w:r>
  </w:p>
  <w:p w14:paraId="69737D36" w14:textId="720B211D" w:rsidR="000B36E1" w:rsidRPr="005E0434" w:rsidRDefault="0003729F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>
      <w:rPr>
        <w:rFonts w:ascii="Arial" w:hAnsi="Arial" w:cs="Arial"/>
        <w:color w:val="0E0E0E"/>
        <w:sz w:val="20"/>
        <w:szCs w:val="20"/>
      </w:rPr>
      <w:t>E20 1JQ</w:t>
    </w:r>
  </w:p>
  <w:p w14:paraId="0E97815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t>United Kingdom</w:t>
    </w:r>
  </w:p>
  <w:p w14:paraId="6549E90E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</w:p>
  <w:p w14:paraId="17F30120" w14:textId="7A0D7C0A" w:rsidR="000B36E1" w:rsidRPr="003A3E2E" w:rsidRDefault="003A3E2E" w:rsidP="003A3E2E">
    <w:pPr>
      <w:pStyle w:val="Header"/>
      <w:tabs>
        <w:tab w:val="clear" w:pos="9026"/>
        <w:tab w:val="right" w:pos="10065"/>
      </w:tabs>
      <w:ind w:right="-1039"/>
      <w:jc w:val="right"/>
      <w:rPr>
        <w:rFonts w:ascii="Lato" w:hAnsi="Lato" w:cs="Arial"/>
        <w:color w:val="0E0E0E"/>
        <w:sz w:val="20"/>
        <w:szCs w:val="20"/>
      </w:rPr>
    </w:pPr>
    <w:r w:rsidRPr="003A3E2E">
      <w:rPr>
        <w:rFonts w:ascii="Lato" w:hAnsi="Lato" w:cs="Segoe UI"/>
        <w:color w:val="000000"/>
        <w:sz w:val="20"/>
        <w:szCs w:val="20"/>
      </w:rPr>
      <w:t>+44 (0)300 323 0140</w:t>
    </w:r>
  </w:p>
  <w:p w14:paraId="5D75BB6C" w14:textId="09F7B041" w:rsidR="000B36E1" w:rsidRDefault="000B36E1" w:rsidP="000B36E1">
    <w:pPr>
      <w:pStyle w:val="Header"/>
      <w:tabs>
        <w:tab w:val="clear" w:pos="4513"/>
        <w:tab w:val="clear" w:pos="9026"/>
        <w:tab w:val="left" w:pos="1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352E09"/>
    <w:multiLevelType w:val="hybridMultilevel"/>
    <w:tmpl w:val="D08DC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C41087"/>
    <w:multiLevelType w:val="hybridMultilevel"/>
    <w:tmpl w:val="D2ACA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39CB"/>
    <w:multiLevelType w:val="hybridMultilevel"/>
    <w:tmpl w:val="A5EAA86A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42F1D0C"/>
    <w:multiLevelType w:val="hybridMultilevel"/>
    <w:tmpl w:val="79C26A16"/>
    <w:lvl w:ilvl="0" w:tplc="B0DA35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E42DB3"/>
    <w:multiLevelType w:val="hybridMultilevel"/>
    <w:tmpl w:val="4538C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3D14"/>
    <w:multiLevelType w:val="multilevel"/>
    <w:tmpl w:val="EDC2B0A0"/>
    <w:lvl w:ilvl="0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A545E2"/>
    <w:multiLevelType w:val="hybridMultilevel"/>
    <w:tmpl w:val="9028B44C"/>
    <w:lvl w:ilvl="0" w:tplc="A6907310">
      <w:start w:val="1"/>
      <w:numFmt w:val="lowerRoman"/>
      <w:lvlText w:val="(%1)"/>
      <w:lvlJc w:val="left"/>
      <w:pPr>
        <w:ind w:left="3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90" w:hanging="360"/>
      </w:pPr>
    </w:lvl>
    <w:lvl w:ilvl="2" w:tplc="0809001B" w:tentative="1">
      <w:start w:val="1"/>
      <w:numFmt w:val="lowerRoman"/>
      <w:lvlText w:val="%3."/>
      <w:lvlJc w:val="right"/>
      <w:pPr>
        <w:ind w:left="1410" w:hanging="180"/>
      </w:pPr>
    </w:lvl>
    <w:lvl w:ilvl="3" w:tplc="0809000F" w:tentative="1">
      <w:start w:val="1"/>
      <w:numFmt w:val="decimal"/>
      <w:lvlText w:val="%4."/>
      <w:lvlJc w:val="left"/>
      <w:pPr>
        <w:ind w:left="2130" w:hanging="360"/>
      </w:pPr>
    </w:lvl>
    <w:lvl w:ilvl="4" w:tplc="08090019" w:tentative="1">
      <w:start w:val="1"/>
      <w:numFmt w:val="lowerLetter"/>
      <w:lvlText w:val="%5."/>
      <w:lvlJc w:val="left"/>
      <w:pPr>
        <w:ind w:left="2850" w:hanging="360"/>
      </w:pPr>
    </w:lvl>
    <w:lvl w:ilvl="5" w:tplc="0809001B" w:tentative="1">
      <w:start w:val="1"/>
      <w:numFmt w:val="lowerRoman"/>
      <w:lvlText w:val="%6."/>
      <w:lvlJc w:val="right"/>
      <w:pPr>
        <w:ind w:left="3570" w:hanging="180"/>
      </w:pPr>
    </w:lvl>
    <w:lvl w:ilvl="6" w:tplc="0809000F" w:tentative="1">
      <w:start w:val="1"/>
      <w:numFmt w:val="decimal"/>
      <w:lvlText w:val="%7."/>
      <w:lvlJc w:val="left"/>
      <w:pPr>
        <w:ind w:left="4290" w:hanging="360"/>
      </w:pPr>
    </w:lvl>
    <w:lvl w:ilvl="7" w:tplc="08090019" w:tentative="1">
      <w:start w:val="1"/>
      <w:numFmt w:val="lowerLetter"/>
      <w:lvlText w:val="%8."/>
      <w:lvlJc w:val="left"/>
      <w:pPr>
        <w:ind w:left="5010" w:hanging="360"/>
      </w:pPr>
    </w:lvl>
    <w:lvl w:ilvl="8" w:tplc="0809001B" w:tentative="1">
      <w:start w:val="1"/>
      <w:numFmt w:val="lowerRoman"/>
      <w:lvlText w:val="%9."/>
      <w:lvlJc w:val="right"/>
      <w:pPr>
        <w:ind w:left="5730" w:hanging="180"/>
      </w:pPr>
    </w:lvl>
  </w:abstractNum>
  <w:abstractNum w:abstractNumId="7" w15:restartNumberingAfterBreak="0">
    <w:nsid w:val="742D3DD1"/>
    <w:multiLevelType w:val="hybridMultilevel"/>
    <w:tmpl w:val="896A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81330">
    <w:abstractNumId w:val="1"/>
  </w:num>
  <w:num w:numId="2" w16cid:durableId="1239897750">
    <w:abstractNumId w:val="5"/>
  </w:num>
  <w:num w:numId="3" w16cid:durableId="724110161">
    <w:abstractNumId w:val="2"/>
  </w:num>
  <w:num w:numId="4" w16cid:durableId="99180155">
    <w:abstractNumId w:val="6"/>
  </w:num>
  <w:num w:numId="5" w16cid:durableId="1481845086">
    <w:abstractNumId w:val="0"/>
  </w:num>
  <w:num w:numId="6" w16cid:durableId="423919277">
    <w:abstractNumId w:val="3"/>
  </w:num>
  <w:num w:numId="7" w16cid:durableId="2008357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738768">
    <w:abstractNumId w:val="4"/>
  </w:num>
  <w:num w:numId="9" w16cid:durableId="1504122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4"/>
    <w:rsid w:val="0003729F"/>
    <w:rsid w:val="000468DC"/>
    <w:rsid w:val="00061CE4"/>
    <w:rsid w:val="000641E7"/>
    <w:rsid w:val="00085181"/>
    <w:rsid w:val="000B104A"/>
    <w:rsid w:val="000B352B"/>
    <w:rsid w:val="000B36E1"/>
    <w:rsid w:val="000C5911"/>
    <w:rsid w:val="001172FA"/>
    <w:rsid w:val="00144F73"/>
    <w:rsid w:val="0014732A"/>
    <w:rsid w:val="00176AA4"/>
    <w:rsid w:val="001D5BD2"/>
    <w:rsid w:val="001E0317"/>
    <w:rsid w:val="001F3962"/>
    <w:rsid w:val="0022689E"/>
    <w:rsid w:val="00235FB2"/>
    <w:rsid w:val="0027653D"/>
    <w:rsid w:val="002B6A0D"/>
    <w:rsid w:val="002D2481"/>
    <w:rsid w:val="002F6CB0"/>
    <w:rsid w:val="00320722"/>
    <w:rsid w:val="00321B75"/>
    <w:rsid w:val="00371B99"/>
    <w:rsid w:val="0037586C"/>
    <w:rsid w:val="00383D9B"/>
    <w:rsid w:val="003936B7"/>
    <w:rsid w:val="003A3E2E"/>
    <w:rsid w:val="003A79BD"/>
    <w:rsid w:val="003B2535"/>
    <w:rsid w:val="003D614E"/>
    <w:rsid w:val="0040409D"/>
    <w:rsid w:val="004215D9"/>
    <w:rsid w:val="0043022B"/>
    <w:rsid w:val="00453738"/>
    <w:rsid w:val="00453774"/>
    <w:rsid w:val="00480405"/>
    <w:rsid w:val="00490CDB"/>
    <w:rsid w:val="00493D2F"/>
    <w:rsid w:val="004C2D22"/>
    <w:rsid w:val="004E4493"/>
    <w:rsid w:val="004F29D7"/>
    <w:rsid w:val="004F39B0"/>
    <w:rsid w:val="005062A0"/>
    <w:rsid w:val="00545445"/>
    <w:rsid w:val="00565543"/>
    <w:rsid w:val="00570BCC"/>
    <w:rsid w:val="0059228F"/>
    <w:rsid w:val="00593F3D"/>
    <w:rsid w:val="005A42E5"/>
    <w:rsid w:val="005A7A7D"/>
    <w:rsid w:val="005B078B"/>
    <w:rsid w:val="005C388B"/>
    <w:rsid w:val="005C7480"/>
    <w:rsid w:val="005E0434"/>
    <w:rsid w:val="005E2A58"/>
    <w:rsid w:val="00641CEB"/>
    <w:rsid w:val="006628FF"/>
    <w:rsid w:val="006643A4"/>
    <w:rsid w:val="00671EF3"/>
    <w:rsid w:val="0069376C"/>
    <w:rsid w:val="006B673E"/>
    <w:rsid w:val="006D0C62"/>
    <w:rsid w:val="006F031D"/>
    <w:rsid w:val="0072577F"/>
    <w:rsid w:val="00732227"/>
    <w:rsid w:val="0079326E"/>
    <w:rsid w:val="007B17BC"/>
    <w:rsid w:val="007B36FA"/>
    <w:rsid w:val="007C64C6"/>
    <w:rsid w:val="007D4914"/>
    <w:rsid w:val="0082229C"/>
    <w:rsid w:val="008374F8"/>
    <w:rsid w:val="00866617"/>
    <w:rsid w:val="008C081A"/>
    <w:rsid w:val="008E4AE4"/>
    <w:rsid w:val="008F0C2B"/>
    <w:rsid w:val="008F4003"/>
    <w:rsid w:val="00961369"/>
    <w:rsid w:val="009770BD"/>
    <w:rsid w:val="009A01FD"/>
    <w:rsid w:val="009B0DDF"/>
    <w:rsid w:val="009E2F15"/>
    <w:rsid w:val="009E5151"/>
    <w:rsid w:val="009F0476"/>
    <w:rsid w:val="00A0226C"/>
    <w:rsid w:val="00A503A7"/>
    <w:rsid w:val="00A84AF4"/>
    <w:rsid w:val="00AA4C3D"/>
    <w:rsid w:val="00AD3112"/>
    <w:rsid w:val="00AD7658"/>
    <w:rsid w:val="00AE303D"/>
    <w:rsid w:val="00AE670F"/>
    <w:rsid w:val="00AF0756"/>
    <w:rsid w:val="00B24360"/>
    <w:rsid w:val="00B32B71"/>
    <w:rsid w:val="00B60BD4"/>
    <w:rsid w:val="00B737D4"/>
    <w:rsid w:val="00BB16DB"/>
    <w:rsid w:val="00BC7BE7"/>
    <w:rsid w:val="00BF3B02"/>
    <w:rsid w:val="00C20122"/>
    <w:rsid w:val="00C85906"/>
    <w:rsid w:val="00C96687"/>
    <w:rsid w:val="00CB4563"/>
    <w:rsid w:val="00CD74A1"/>
    <w:rsid w:val="00CE085C"/>
    <w:rsid w:val="00D22D3F"/>
    <w:rsid w:val="00D36D76"/>
    <w:rsid w:val="00D37DEC"/>
    <w:rsid w:val="00D43C5C"/>
    <w:rsid w:val="00D755E3"/>
    <w:rsid w:val="00D770E0"/>
    <w:rsid w:val="00DB178D"/>
    <w:rsid w:val="00DD43C2"/>
    <w:rsid w:val="00E03263"/>
    <w:rsid w:val="00E32E7D"/>
    <w:rsid w:val="00E467E2"/>
    <w:rsid w:val="00E60FCF"/>
    <w:rsid w:val="00E622D7"/>
    <w:rsid w:val="00E67BD1"/>
    <w:rsid w:val="00E70F23"/>
    <w:rsid w:val="00E7772A"/>
    <w:rsid w:val="00EA3919"/>
    <w:rsid w:val="00EE6553"/>
    <w:rsid w:val="00F04994"/>
    <w:rsid w:val="00F1265E"/>
    <w:rsid w:val="00F233EA"/>
    <w:rsid w:val="00F24B1D"/>
    <w:rsid w:val="00F47A04"/>
    <w:rsid w:val="00F70A40"/>
    <w:rsid w:val="00F77074"/>
    <w:rsid w:val="00F84F67"/>
    <w:rsid w:val="00FB225B"/>
    <w:rsid w:val="00FC0EF1"/>
    <w:rsid w:val="00FD699A"/>
    <w:rsid w:val="00FE3296"/>
    <w:rsid w:val="03ED4113"/>
    <w:rsid w:val="061224FE"/>
    <w:rsid w:val="063FE9B4"/>
    <w:rsid w:val="1A62D28E"/>
    <w:rsid w:val="25301341"/>
    <w:rsid w:val="3470915A"/>
    <w:rsid w:val="392752DD"/>
    <w:rsid w:val="3D15FC8B"/>
    <w:rsid w:val="46693854"/>
    <w:rsid w:val="499F1986"/>
    <w:rsid w:val="4B53BFF1"/>
    <w:rsid w:val="7ABDD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30C3A"/>
  <w15:docId w15:val="{5E5192C4-7C1C-460D-BFA5-1A9E65B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4"/>
    <w:qFormat/>
    <w:rsid w:val="009A01FD"/>
    <w:pPr>
      <w:numPr>
        <w:numId w:val="2"/>
      </w:numPr>
      <w:spacing w:before="240" w:after="240"/>
    </w:pPr>
    <w:rPr>
      <w:rFonts w:ascii="Arial" w:eastAsia="Times New Roman" w:hAnsi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1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1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7D4"/>
    <w:pPr>
      <w:spacing w:after="0" w:line="288" w:lineRule="auto"/>
      <w:ind w:left="720"/>
      <w:contextualSpacing/>
    </w:pPr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6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7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7E2"/>
    <w:rPr>
      <w:b/>
      <w:bCs/>
      <w:lang w:eastAsia="en-US"/>
    </w:rPr>
  </w:style>
  <w:style w:type="paragraph" w:styleId="Revision">
    <w:name w:val="Revision"/>
    <w:hidden/>
    <w:uiPriority w:val="99"/>
    <w:semiHidden/>
    <w:rsid w:val="00F70A40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71EF3"/>
    <w:pPr>
      <w:spacing w:line="288" w:lineRule="auto"/>
    </w:pPr>
    <w:rPr>
      <w:rFonts w:ascii="Arial" w:eastAsia="Times New Roman" w:hAnsi="Arial"/>
      <w:color w:val="333333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71EF3"/>
    <w:rPr>
      <w:rFonts w:ascii="Arial" w:eastAsia="Times New Roman" w:hAnsi="Arial"/>
      <w:color w:val="333333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2229C"/>
    <w:pPr>
      <w:spacing w:after="0" w:line="240" w:lineRule="auto"/>
    </w:pPr>
    <w:rPr>
      <w:rFonts w:ascii="Arial" w:eastAsia="Times New Roman" w:hAnsi="Arial"/>
      <w:color w:val="33333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229C"/>
    <w:rPr>
      <w:rFonts w:ascii="Arial" w:eastAsia="Times New Roman" w:hAnsi="Arial"/>
      <w:color w:val="333333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2229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6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701D5-0140-49AC-8D42-9C2D47359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A443D-7939-4704-8D4D-126770F4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54fe-435b-4423-8fe2-c9a3626b31f7"/>
    <ds:schemaRef ds:uri="68f19371-ebe6-4483-8e72-73d36cd70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24D3F-B73D-4767-809B-47AADE14F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 Davies</cp:lastModifiedBy>
  <cp:revision>4</cp:revision>
  <cp:lastPrinted>1900-01-01T08:00:00Z</cp:lastPrinted>
  <dcterms:created xsi:type="dcterms:W3CDTF">2024-04-18T09:09:00Z</dcterms:created>
  <dcterms:modified xsi:type="dcterms:W3CDTF">2024-11-14T14:09:00Z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0x0101003300E5E64B980D458C754FFE05DEE26D</vt:lpwstr>
  </property>
  <property fmtid="{D5CDD505-2E9C-101B-9397-08002B2CF9AE}" pid="3" name="MSIP_Label_c69d85d5-6d9e-4305-a294-1f636ec0f2d6_Enabled">
    <vt:lpwstr>true</vt:lpwstr>
  </property>
  <property fmtid="{D5CDD505-2E9C-101B-9397-08002B2CF9AE}" pid="4" name="MSIP_Label_c69d85d5-6d9e-4305-a294-1f636ec0f2d6_SetDate">
    <vt:lpwstr>2024-04-18T09:09:03Z</vt:lpwstr>
  </property>
  <property fmtid="{D5CDD505-2E9C-101B-9397-08002B2CF9AE}" pid="5" name="MSIP_Label_c69d85d5-6d9e-4305-a294-1f636ec0f2d6_Method">
    <vt:lpwstr>Standard</vt:lpwstr>
  </property>
  <property fmtid="{D5CDD505-2E9C-101B-9397-08002B2CF9AE}" pid="6" name="MSIP_Label_c69d85d5-6d9e-4305-a294-1f636ec0f2d6_Name">
    <vt:lpwstr>OFFICIAL</vt:lpwstr>
  </property>
  <property fmtid="{D5CDD505-2E9C-101B-9397-08002B2CF9AE}" pid="7" name="MSIP_Label_c69d85d5-6d9e-4305-a294-1f636ec0f2d6_SiteId">
    <vt:lpwstr>6030f479-b342-472d-a5dd-740ff7538de9</vt:lpwstr>
  </property>
  <property fmtid="{D5CDD505-2E9C-101B-9397-08002B2CF9AE}" pid="8" name="MSIP_Label_c69d85d5-6d9e-4305-a294-1f636ec0f2d6_ActionId">
    <vt:lpwstr>576f8a62-64b5-47d1-8da6-20f6149192f6</vt:lpwstr>
  </property>
  <property fmtid="{D5CDD505-2E9C-101B-9397-08002B2CF9AE}" pid="9" name="MSIP_Label_c69d85d5-6d9e-4305-a294-1f636ec0f2d6_ContentBits">
    <vt:lpwstr>0</vt:lpwstr>
  </property>
</Properties>
</file>