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0347197B" w:rsidR="00A82E2A" w:rsidRDefault="007B2015" w:rsidP="00A82E2A">
      <w:pPr>
        <w:pStyle w:val="Heading1"/>
        <w:jc w:val="center"/>
      </w:pPr>
      <w:r>
        <w:t>I</w:t>
      </w:r>
      <w:r w:rsidR="00973C02">
        <w:t>N</w:t>
      </w:r>
      <w:r>
        <w:t xml:space="preserve">D 273 </w:t>
      </w:r>
      <w:r w:rsidR="00A70859">
        <w:t>Asthma: annual review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12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DE5586" w14:textId="09C89199" w:rsidR="00037CE1" w:rsidRDefault="00037CE1" w:rsidP="00037CE1">
      <w:pPr>
        <w:pStyle w:val="Heading1"/>
      </w:pPr>
      <w:bookmarkStart w:id="2" w:name="_Toc109224101"/>
      <w:bookmarkStart w:id="3" w:name="_Toc138944322"/>
      <w:bookmarkEnd w:id="0"/>
      <w:bookmarkEnd w:id="1"/>
      <w:r>
        <w:lastRenderedPageBreak/>
        <w:t xml:space="preserve">STAGE </w:t>
      </w:r>
      <w:r w:rsidR="0065193B">
        <w:t>2</w:t>
      </w:r>
      <w:r>
        <w:t xml:space="preserve">. </w:t>
      </w:r>
      <w:bookmarkEnd w:id="2"/>
      <w:r w:rsidR="00FE3A12">
        <w:t xml:space="preserve">Final </w:t>
      </w:r>
      <w:bookmarkEnd w:id="3"/>
      <w:r w:rsidR="008E6DD0">
        <w:t>indicator</w:t>
      </w:r>
    </w:p>
    <w:p w14:paraId="6802A4B0" w14:textId="0C784FE7" w:rsidR="00BF1C2F" w:rsidRDefault="00BF1C2F" w:rsidP="004C5A80">
      <w:pPr>
        <w:pStyle w:val="Heading2"/>
        <w:spacing w:after="240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A70859">
        <w:trPr>
          <w:trHeight w:val="1037"/>
        </w:trPr>
        <w:tc>
          <w:tcPr>
            <w:tcW w:w="9781" w:type="dxa"/>
            <w:shd w:val="clear" w:color="auto" w:fill="auto"/>
          </w:tcPr>
          <w:p w14:paraId="178051E5" w14:textId="6B1FD866" w:rsidR="00510006" w:rsidRPr="00F62A3E" w:rsidRDefault="00A70859" w:rsidP="00A70859">
            <w:pPr>
              <w:pStyle w:val="Paragraph"/>
              <w:rPr>
                <w:i/>
                <w:iCs/>
              </w:rPr>
            </w:pPr>
            <w:r>
              <w:t xml:space="preserve">No consultation was undertaken for this indicator update as it is an alignment with the new </w:t>
            </w:r>
            <w:hyperlink r:id="rId13" w:history="1">
              <w:r w:rsidRPr="00E8735C">
                <w:rPr>
                  <w:rStyle w:val="Hyperlink"/>
                </w:rPr>
                <w:t>BTS, NICE and SIGN guideline on asthma (NG</w:t>
              </w:r>
              <w:r w:rsidR="00E8735C" w:rsidRPr="00E8735C">
                <w:rPr>
                  <w:rStyle w:val="Hyperlink"/>
                </w:rPr>
                <w:t>245</w:t>
              </w:r>
              <w:r w:rsidRPr="00E8735C">
                <w:rPr>
                  <w:rStyle w:val="Hyperlink"/>
                </w:rPr>
                <w:t>)</w:t>
              </w:r>
            </w:hyperlink>
            <w:r>
              <w:t>.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BF1C2F">
        <w:trPr>
          <w:trHeight w:val="3818"/>
        </w:trPr>
        <w:tc>
          <w:tcPr>
            <w:tcW w:w="9781" w:type="dxa"/>
            <w:shd w:val="clear" w:color="auto" w:fill="auto"/>
          </w:tcPr>
          <w:p w14:paraId="65E67FE9" w14:textId="77777777" w:rsidR="001314A8" w:rsidRDefault="00A70859" w:rsidP="00A70859">
            <w:pPr>
              <w:pStyle w:val="Paragraph"/>
            </w:pPr>
            <w:r>
              <w:t>Children under 5 years old have been excluded from this indicator due to difficulties in diagnosing asthma in under 5s.</w:t>
            </w:r>
          </w:p>
          <w:p w14:paraId="20EE3DDB" w14:textId="483E957C" w:rsidR="00EA6CAD" w:rsidRDefault="00EA6CAD" w:rsidP="00A70859">
            <w:pPr>
              <w:pStyle w:val="Paragraph"/>
            </w:pPr>
            <w:r>
              <w:t>The new guideline also highlighted that:</w:t>
            </w:r>
          </w:p>
          <w:p w14:paraId="37EF4AB0" w14:textId="3AEF4182" w:rsidR="00EA6CAD" w:rsidRDefault="00EA6CAD" w:rsidP="00EA6CAD">
            <w:pPr>
              <w:pStyle w:val="Paragraph"/>
              <w:numPr>
                <w:ilvl w:val="0"/>
                <w:numId w:val="44"/>
              </w:numPr>
            </w:pPr>
            <w:r>
              <w:t>There is a need for consistent, effectively communicated information for people of South Asian origin</w:t>
            </w:r>
          </w:p>
          <w:p w14:paraId="2840FDE0" w14:textId="77777777" w:rsidR="003A2E8B" w:rsidRDefault="003A2E8B" w:rsidP="00EA6CAD">
            <w:pPr>
              <w:pStyle w:val="Paragraph"/>
              <w:numPr>
                <w:ilvl w:val="0"/>
                <w:numId w:val="44"/>
              </w:numPr>
            </w:pPr>
            <w:r w:rsidRPr="003A2E8B">
              <w:t>People with cognitive impairment, learning disabilities, people with language and communication difficulties and people with mental health difficulties may need additional help with their self-management to improve factors such as inhaler technique and adherence.</w:t>
            </w:r>
          </w:p>
          <w:p w14:paraId="3369EE46" w14:textId="558827EF" w:rsidR="00860F15" w:rsidRDefault="00860F15" w:rsidP="00EA6CAD">
            <w:pPr>
              <w:pStyle w:val="Paragraph"/>
              <w:numPr>
                <w:ilvl w:val="0"/>
                <w:numId w:val="44"/>
              </w:numPr>
            </w:pPr>
            <w:r>
              <w:t>A</w:t>
            </w:r>
            <w:r w:rsidRPr="00860F15">
              <w:t xml:space="preserve">dherence to medication </w:t>
            </w:r>
            <w:r>
              <w:t>can be</w:t>
            </w:r>
            <w:r w:rsidRPr="00860F15">
              <w:t xml:space="preserve"> more difficult for </w:t>
            </w:r>
            <w:r>
              <w:t xml:space="preserve">people experiencing </w:t>
            </w:r>
            <w:r w:rsidRPr="00860F15">
              <w:t>homeless</w:t>
            </w:r>
            <w:r>
              <w:t>ness.</w:t>
            </w:r>
          </w:p>
          <w:p w14:paraId="1E4F7BDC" w14:textId="4EB5A780" w:rsidR="00EA6CAD" w:rsidRDefault="0005708E" w:rsidP="00EA6CAD">
            <w:pPr>
              <w:pStyle w:val="Paragraph"/>
            </w:pPr>
            <w:r>
              <w:t>The need to provide culturally appropriate care and care for people who may need additional support is included within the indicator as it highlights the need for a personalised action plan.</w:t>
            </w: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5C65BA">
        <w:trPr>
          <w:trHeight w:val="1691"/>
        </w:trPr>
        <w:tc>
          <w:tcPr>
            <w:tcW w:w="9781" w:type="dxa"/>
            <w:shd w:val="clear" w:color="auto" w:fill="auto"/>
          </w:tcPr>
          <w:p w14:paraId="40D36D1B" w14:textId="3089900B" w:rsidR="001314A8" w:rsidRPr="00860F15" w:rsidRDefault="00860F15" w:rsidP="00DA67D8">
            <w:pPr>
              <w:pStyle w:val="Paragraph"/>
            </w:pPr>
            <w:r w:rsidRPr="00860F15">
              <w:t>The</w:t>
            </w:r>
            <w:r>
              <w:t xml:space="preserve"> indicator has been updated to </w:t>
            </w:r>
            <w:r w:rsidR="005C65BA">
              <w:t xml:space="preserve">remove the requirement to use </w:t>
            </w:r>
            <w:r>
              <w:t>validated asthma control questionnaires because it is based on a ‘consider’ recommendation in the new guideline</w:t>
            </w:r>
            <w:r w:rsidR="005C65BA">
              <w:t xml:space="preserve">. </w:t>
            </w:r>
            <w:r w:rsidR="00CE2742">
              <w:t xml:space="preserve">It is not expected that these changes will impact on equality and health inequality issues. 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181A0891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lastRenderedPageBreak/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664367">
        <w:trPr>
          <w:trHeight w:val="715"/>
        </w:trPr>
        <w:tc>
          <w:tcPr>
            <w:tcW w:w="9781" w:type="dxa"/>
            <w:shd w:val="clear" w:color="auto" w:fill="auto"/>
          </w:tcPr>
          <w:p w14:paraId="5907B292" w14:textId="6BF65A6F" w:rsidR="00FE3A12" w:rsidRPr="00664367" w:rsidRDefault="00664367" w:rsidP="00DA67D8">
            <w:pPr>
              <w:pStyle w:val="Paragraph"/>
            </w:pPr>
            <w:r w:rsidRPr="00664367">
              <w:t>No further</w:t>
            </w:r>
            <w:r>
              <w:t xml:space="preserve"> equality issues were discussed by the indicator advisory committee.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664367">
        <w:trPr>
          <w:trHeight w:val="706"/>
        </w:trPr>
        <w:tc>
          <w:tcPr>
            <w:tcW w:w="9781" w:type="dxa"/>
            <w:shd w:val="clear" w:color="auto" w:fill="auto"/>
          </w:tcPr>
          <w:p w14:paraId="0AA61636" w14:textId="0596ED42" w:rsidR="00310638" w:rsidRPr="00664367" w:rsidRDefault="00664367" w:rsidP="00965AEE">
            <w:pPr>
              <w:pStyle w:val="Paragraph"/>
              <w:rPr>
                <w:highlight w:val="lightGray"/>
              </w:rPr>
            </w:pPr>
            <w:r w:rsidRPr="00664367">
              <w:t xml:space="preserve">No equalities issues </w:t>
            </w:r>
            <w:r>
              <w:t>need to be highlighted in the guidance executive report.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46132C0B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664367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270FA795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664367">
        <w:rPr>
          <w:rFonts w:cs="Arial"/>
        </w:rPr>
        <w:t>26/9/2024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54C7A5AF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CE2742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0A2C102E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CE2742">
        <w:rPr>
          <w:rFonts w:cs="Arial"/>
        </w:rPr>
        <w:t>27/09/2024</w:t>
      </w:r>
    </w:p>
    <w:p w14:paraId="26C9B3D8" w14:textId="77777777" w:rsidR="00712E9A" w:rsidRDefault="00712E9A" w:rsidP="00DA0765">
      <w:pPr>
        <w:pStyle w:val="pf0"/>
        <w:rPr>
          <w:rStyle w:val="cf01"/>
        </w:rPr>
      </w:pPr>
    </w:p>
    <w:p w14:paraId="1658850E" w14:textId="77777777" w:rsidR="00712E9A" w:rsidRDefault="00712E9A" w:rsidP="00DA0765">
      <w:pPr>
        <w:pStyle w:val="pf0"/>
        <w:rPr>
          <w:rStyle w:val="cf01"/>
        </w:rPr>
      </w:pP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9D77DF">
        <w:rPr>
          <w:rStyle w:val="cf11"/>
        </w:rPr>
        <w:t>4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14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BBA3" w14:textId="20362B9B" w:rsidR="00516E2E" w:rsidRDefault="007B2015" w:rsidP="003C15C7">
    <w:pPr>
      <w:pStyle w:val="Footer"/>
    </w:pPr>
    <w:r>
      <w:t>I</w:t>
    </w:r>
    <w:r w:rsidR="00973C02">
      <w:t>N</w:t>
    </w:r>
    <w:r>
      <w:t>D273</w:t>
    </w:r>
    <w:r w:rsidR="003C15C7">
      <w:t>: Equality and health inequalities assessment</w:t>
    </w:r>
    <w:r w:rsidR="003C15C7">
      <w:tab/>
    </w:r>
    <w:r w:rsidR="003C15C7">
      <w:tab/>
    </w:r>
    <w:r w:rsidR="003C15C7">
      <w:fldChar w:fldCharType="begin"/>
    </w:r>
    <w:r w:rsidR="003C15C7">
      <w:instrText xml:space="preserve"> PAGE </w:instrText>
    </w:r>
    <w:r w:rsidR="003C15C7">
      <w:fldChar w:fldCharType="separate"/>
    </w:r>
    <w:r w:rsidR="003C15C7">
      <w:t>2</w:t>
    </w:r>
    <w:r w:rsidR="003C15C7">
      <w:fldChar w:fldCharType="end"/>
    </w:r>
    <w:r w:rsidR="003C15C7">
      <w:t xml:space="preserve"> of </w:t>
    </w:r>
    <w:r w:rsidR="003C15C7">
      <w:fldChar w:fldCharType="begin"/>
    </w:r>
    <w:r w:rsidR="003C15C7">
      <w:instrText xml:space="preserve"> NUMPAGES  </w:instrText>
    </w:r>
    <w:r w:rsidR="003C15C7">
      <w:fldChar w:fldCharType="separate"/>
    </w:r>
    <w:r w:rsidR="003C15C7">
      <w:t>8</w:t>
    </w:r>
    <w:r w:rsidR="003C15C7"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EAF5" w14:textId="183AA409" w:rsidR="00DF198B" w:rsidRDefault="00FE16C4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1937F04"/>
    <w:multiLevelType w:val="hybridMultilevel"/>
    <w:tmpl w:val="0A747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EE0504"/>
    <w:multiLevelType w:val="multilevel"/>
    <w:tmpl w:val="1F36E61C"/>
    <w:numStyleLink w:val="Style4"/>
  </w:abstractNum>
  <w:abstractNum w:abstractNumId="21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7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E6E96"/>
    <w:multiLevelType w:val="multilevel"/>
    <w:tmpl w:val="8F5AD2FA"/>
    <w:numStyleLink w:val="Style5"/>
  </w:abstractNum>
  <w:abstractNum w:abstractNumId="29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2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779FA"/>
    <w:multiLevelType w:val="multilevel"/>
    <w:tmpl w:val="7B18D79E"/>
    <w:numStyleLink w:val="Style2"/>
  </w:abstractNum>
  <w:abstractNum w:abstractNumId="37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40" w15:restartNumberingAfterBreak="0">
    <w:nsid w:val="7CBA3C95"/>
    <w:multiLevelType w:val="multilevel"/>
    <w:tmpl w:val="7B18D79E"/>
    <w:numStyleLink w:val="Style2"/>
  </w:abstractNum>
  <w:abstractNum w:abstractNumId="41" w15:restartNumberingAfterBreak="0">
    <w:nsid w:val="7D5B6FF6"/>
    <w:multiLevelType w:val="multilevel"/>
    <w:tmpl w:val="7B18D79E"/>
    <w:numStyleLink w:val="Style2"/>
  </w:abstractNum>
  <w:abstractNum w:abstractNumId="42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1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5"/>
  </w:num>
  <w:num w:numId="6" w16cid:durableId="1918830326">
    <w:abstractNumId w:val="30"/>
  </w:num>
  <w:num w:numId="7" w16cid:durableId="1148591788">
    <w:abstractNumId w:val="40"/>
  </w:num>
  <w:num w:numId="8" w16cid:durableId="1849562648">
    <w:abstractNumId w:val="37"/>
  </w:num>
  <w:num w:numId="9" w16cid:durableId="1055349801">
    <w:abstractNumId w:val="39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2"/>
  </w:num>
  <w:num w:numId="13" w16cid:durableId="360518129">
    <w:abstractNumId w:val="33"/>
  </w:num>
  <w:num w:numId="14" w16cid:durableId="1844662713">
    <w:abstractNumId w:val="20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8"/>
  </w:num>
  <w:num w:numId="18" w16cid:durableId="940183058">
    <w:abstractNumId w:val="38"/>
  </w:num>
  <w:num w:numId="19" w16cid:durableId="1833257076">
    <w:abstractNumId w:val="2"/>
  </w:num>
  <w:num w:numId="20" w16cid:durableId="1484271452">
    <w:abstractNumId w:val="34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2"/>
  </w:num>
  <w:num w:numId="26" w16cid:durableId="1552765963">
    <w:abstractNumId w:val="19"/>
  </w:num>
  <w:num w:numId="27" w16cid:durableId="1613900351">
    <w:abstractNumId w:val="21"/>
  </w:num>
  <w:num w:numId="28" w16cid:durableId="2071151798">
    <w:abstractNumId w:val="41"/>
  </w:num>
  <w:num w:numId="29" w16cid:durableId="1773016109">
    <w:abstractNumId w:val="17"/>
  </w:num>
  <w:num w:numId="30" w16cid:durableId="1214999556">
    <w:abstractNumId w:val="36"/>
  </w:num>
  <w:num w:numId="31" w16cid:durableId="106050730">
    <w:abstractNumId w:val="35"/>
  </w:num>
  <w:num w:numId="32" w16cid:durableId="1981037423">
    <w:abstractNumId w:val="23"/>
  </w:num>
  <w:num w:numId="33" w16cid:durableId="1782531770">
    <w:abstractNumId w:val="6"/>
  </w:num>
  <w:num w:numId="34" w16cid:durableId="363406381">
    <w:abstractNumId w:val="24"/>
  </w:num>
  <w:num w:numId="35" w16cid:durableId="1564372752">
    <w:abstractNumId w:val="43"/>
  </w:num>
  <w:num w:numId="36" w16cid:durableId="96144097">
    <w:abstractNumId w:val="1"/>
  </w:num>
  <w:num w:numId="37" w16cid:durableId="1519781089">
    <w:abstractNumId w:val="32"/>
  </w:num>
  <w:num w:numId="38" w16cid:durableId="1448887418">
    <w:abstractNumId w:val="8"/>
  </w:num>
  <w:num w:numId="39" w16cid:durableId="1455443758">
    <w:abstractNumId w:val="29"/>
  </w:num>
  <w:num w:numId="40" w16cid:durableId="713963823">
    <w:abstractNumId w:val="3"/>
  </w:num>
  <w:num w:numId="41" w16cid:durableId="1864247540">
    <w:abstractNumId w:val="26"/>
  </w:num>
  <w:num w:numId="42" w16cid:durableId="2045325553">
    <w:abstractNumId w:val="27"/>
  </w:num>
  <w:num w:numId="43" w16cid:durableId="2099404550">
    <w:abstractNumId w:val="15"/>
  </w:num>
  <w:num w:numId="44" w16cid:durableId="1746189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CE0"/>
    <w:rsid w:val="00054DF9"/>
    <w:rsid w:val="0005708E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B1868"/>
    <w:rsid w:val="000B5939"/>
    <w:rsid w:val="000B78CA"/>
    <w:rsid w:val="000C14F6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9CD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18D7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2E8B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3B8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152E"/>
    <w:rsid w:val="004948F2"/>
    <w:rsid w:val="004957A2"/>
    <w:rsid w:val="00497425"/>
    <w:rsid w:val="004A0041"/>
    <w:rsid w:val="004A1E7C"/>
    <w:rsid w:val="004C3E20"/>
    <w:rsid w:val="004C5A80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2ED8"/>
    <w:rsid w:val="0057339A"/>
    <w:rsid w:val="00576330"/>
    <w:rsid w:val="00585FFE"/>
    <w:rsid w:val="00586E8A"/>
    <w:rsid w:val="00591766"/>
    <w:rsid w:val="00592E25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65BA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436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015"/>
    <w:rsid w:val="007B2281"/>
    <w:rsid w:val="007B6C26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3D2F"/>
    <w:rsid w:val="007D5435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0F15"/>
    <w:rsid w:val="00861357"/>
    <w:rsid w:val="00861B92"/>
    <w:rsid w:val="00861E78"/>
    <w:rsid w:val="0087236F"/>
    <w:rsid w:val="008801F4"/>
    <w:rsid w:val="00880FE0"/>
    <w:rsid w:val="008814FB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3C02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5CF7"/>
    <w:rsid w:val="009E6439"/>
    <w:rsid w:val="009E680B"/>
    <w:rsid w:val="009F05BB"/>
    <w:rsid w:val="009F1B51"/>
    <w:rsid w:val="009F6413"/>
    <w:rsid w:val="009F757C"/>
    <w:rsid w:val="00A00B99"/>
    <w:rsid w:val="00A02944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5954"/>
    <w:rsid w:val="00A5793D"/>
    <w:rsid w:val="00A67E60"/>
    <w:rsid w:val="00A702A9"/>
    <w:rsid w:val="00A70368"/>
    <w:rsid w:val="00A70859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5749C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153A"/>
    <w:rsid w:val="00BC186C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756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742"/>
    <w:rsid w:val="00CE2EE9"/>
    <w:rsid w:val="00CE4FA6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0EC6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8735C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6CAD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07E97"/>
    <w:rsid w:val="00F100D1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6E99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  <w15:docId w15:val="{C548A2D6-F917-4342-90F2-59139B6A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ce.org.uk/guidance/ng24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ice.org.uk/standards-and-indicators/indica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3A0393D2D03468ABB4515D52A5A3F" ma:contentTypeVersion="7" ma:contentTypeDescription="Create a new document." ma:contentTypeScope="" ma:versionID="f56eec648af8aaa3677b94172997e5db">
  <xsd:schema xmlns:xsd="http://www.w3.org/2001/XMLSchema" xmlns:xs="http://www.w3.org/2001/XMLSchema" xmlns:p="http://schemas.microsoft.com/office/2006/metadata/properties" xmlns:ns3="b0c1837d-74ba-4af3-a4c8-bd2709d709d2" xmlns:ns4="d34586f0-e77c-4deb-9b3c-6de89f9607f5" targetNamespace="http://schemas.microsoft.com/office/2006/metadata/properties" ma:root="true" ma:fieldsID="9514f512469f1074976fe277a361b897" ns3:_="" ns4:_="">
    <xsd:import namespace="b0c1837d-74ba-4af3-a4c8-bd2709d709d2"/>
    <xsd:import namespace="d34586f0-e77c-4deb-9b3c-6de89f960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1837d-74ba-4af3-a4c8-bd2709d70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6f0-e77c-4deb-9b3c-6de89f960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EC666-388D-49EA-813C-A9F08948F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B9F36-D6C4-4479-B181-E5D993EE1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DEA29-539F-480A-924C-3BEDF9F52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18BB9F-A5B2-4177-A254-81F19166C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1837d-74ba-4af3-a4c8-bd2709d709d2"/>
    <ds:schemaRef ds:uri="d34586f0-e77c-4deb-9b3c-6de89f960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3270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Doyle</dc:creator>
  <cp:keywords/>
  <dc:description/>
  <cp:lastModifiedBy>Melanie Carr</cp:lastModifiedBy>
  <cp:revision>2</cp:revision>
  <dcterms:created xsi:type="dcterms:W3CDTF">2024-10-30T11:52:00Z</dcterms:created>
  <dcterms:modified xsi:type="dcterms:W3CDTF">2024-10-30T11:52:00Z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0x010100B523A0393D2D03468ABB4515D52A5A3F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2023-04-13T13:56:10Z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861a0209-f0b3-488b-b9fc-75ab271e2969</vt:lpwstr>
  </property>
  <property fmtid="{D5CDD505-2E9C-101B-9397-08002B2CF9AE}" pid="9" name="MSIP_Label_c69d85d5-6d9e-4305-a294-1f636ec0f2d6_ContentBits">
    <vt:lpwstr>0</vt:lpwstr>
  </property>
</Properties>
</file>