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9C94" w14:textId="77777777" w:rsidR="003B0466" w:rsidRDefault="003B0466" w:rsidP="00363276">
      <w:pPr>
        <w:pStyle w:val="Title"/>
        <w:rPr>
          <w:sz w:val="40"/>
          <w:szCs w:val="40"/>
        </w:rPr>
      </w:pPr>
      <w:r>
        <w:rPr>
          <w:sz w:val="40"/>
          <w:szCs w:val="40"/>
        </w:rPr>
        <w:t xml:space="preserve">Indicator development programme </w:t>
      </w:r>
    </w:p>
    <w:p w14:paraId="6C6B43FC" w14:textId="1BCEA38A" w:rsidR="00482C01" w:rsidRPr="003B0466" w:rsidRDefault="009B0E59" w:rsidP="00363276">
      <w:pPr>
        <w:pStyle w:val="Title"/>
        <w:rPr>
          <w:sz w:val="40"/>
          <w:szCs w:val="40"/>
        </w:rPr>
      </w:pPr>
      <w:r w:rsidRPr="003B0466">
        <w:rPr>
          <w:sz w:val="40"/>
          <w:szCs w:val="40"/>
        </w:rPr>
        <w:t>NICE indicator v</w:t>
      </w:r>
      <w:r w:rsidR="00192B09" w:rsidRPr="003B0466">
        <w:rPr>
          <w:sz w:val="40"/>
          <w:szCs w:val="40"/>
        </w:rPr>
        <w:t>alidity assessment</w:t>
      </w:r>
    </w:p>
    <w:p w14:paraId="047E7BC9" w14:textId="361915A6" w:rsidR="009B0E59" w:rsidRPr="009B0E59" w:rsidRDefault="009B0E59" w:rsidP="00192685">
      <w:pPr>
        <w:pStyle w:val="Heading1"/>
        <w:rPr>
          <w:lang w:eastAsia="en-GB"/>
        </w:rPr>
      </w:pPr>
      <w:r w:rsidRPr="009B0E59">
        <w:rPr>
          <w:lang w:eastAsia="en-GB"/>
        </w:rPr>
        <w:t xml:space="preserve">Indicator </w:t>
      </w:r>
      <w:r w:rsidR="003A0623">
        <w:rPr>
          <w:lang w:eastAsia="en-GB"/>
        </w:rPr>
        <w:t>IND27</w:t>
      </w:r>
      <w:r w:rsidR="00F2157D">
        <w:rPr>
          <w:lang w:eastAsia="en-GB"/>
        </w:rPr>
        <w:t>5</w:t>
      </w:r>
    </w:p>
    <w:p w14:paraId="61BFB9A5" w14:textId="77777777" w:rsidR="00F2157D" w:rsidRDefault="00F2157D" w:rsidP="00192685">
      <w:pPr>
        <w:pStyle w:val="Heading1"/>
        <w:rPr>
          <w:b w:val="0"/>
          <w:bCs w:val="0"/>
          <w:kern w:val="0"/>
          <w:sz w:val="24"/>
          <w:szCs w:val="24"/>
          <w:lang w:eastAsia="en-GB"/>
        </w:rPr>
      </w:pPr>
      <w:r w:rsidRPr="00F2157D">
        <w:rPr>
          <w:b w:val="0"/>
          <w:bCs w:val="0"/>
          <w:kern w:val="0"/>
          <w:sz w:val="24"/>
          <w:szCs w:val="24"/>
          <w:lang w:eastAsia="en-GB"/>
        </w:rPr>
        <w:t>The percentage of patients with diabetes aged 40 years and over, with no history of cardiovascular disease and without moderate or severe frailty, who are currently treated with a lipid-lowering therapy (excluding patients with type 2 diabetes and a cardiovascular disease risk score of less than 10% recorded in the preceding 3 years).</w:t>
      </w:r>
    </w:p>
    <w:p w14:paraId="6CBA005E" w14:textId="3C353F07" w:rsidR="00236060" w:rsidRDefault="00236060" w:rsidP="00192685">
      <w:pPr>
        <w:pStyle w:val="Heading1"/>
      </w:pPr>
      <w:r>
        <w:t xml:space="preserve">Indicator type </w:t>
      </w:r>
    </w:p>
    <w:p w14:paraId="753A72A5" w14:textId="4C792B4D" w:rsidR="00236060" w:rsidRDefault="00236060" w:rsidP="00236060">
      <w:pPr>
        <w:pStyle w:val="Paragraph"/>
      </w:pPr>
      <w:r w:rsidRPr="003A0623">
        <w:t>General practice indicator suitable for use in the Quality and Outcomes Framework.</w:t>
      </w:r>
      <w:r w:rsidR="003A0623">
        <w:t xml:space="preserve"> </w:t>
      </w:r>
    </w:p>
    <w:p w14:paraId="7C25BFBC" w14:textId="7A0D5670" w:rsidR="007136A7" w:rsidRDefault="002338EB" w:rsidP="00192685">
      <w:pPr>
        <w:pStyle w:val="Heading1"/>
      </w:pPr>
      <w:r>
        <w:t xml:space="preserve">Importance </w:t>
      </w:r>
    </w:p>
    <w:tbl>
      <w:tblPr>
        <w:tblStyle w:val="TableGrid"/>
        <w:tblW w:w="9067" w:type="dxa"/>
        <w:tblLook w:val="04A0" w:firstRow="1" w:lastRow="0" w:firstColumn="1" w:lastColumn="0" w:noHBand="0" w:noVBand="1"/>
      </w:tblPr>
      <w:tblGrid>
        <w:gridCol w:w="5949"/>
        <w:gridCol w:w="3118"/>
      </w:tblGrid>
      <w:tr w:rsidR="002338EB" w14:paraId="6C46B250" w14:textId="77777777" w:rsidTr="002338EB">
        <w:tc>
          <w:tcPr>
            <w:tcW w:w="5949" w:type="dxa"/>
          </w:tcPr>
          <w:p w14:paraId="5472972D" w14:textId="7A9FC88C" w:rsidR="002338EB" w:rsidRPr="002338EB" w:rsidRDefault="002338EB" w:rsidP="002338EB">
            <w:pPr>
              <w:pStyle w:val="Paragraph"/>
              <w:spacing w:before="120" w:after="120" w:line="240" w:lineRule="auto"/>
              <w:rPr>
                <w:b/>
                <w:bCs/>
                <w:sz w:val="22"/>
                <w:szCs w:val="22"/>
              </w:rPr>
            </w:pPr>
            <w:bookmarkStart w:id="0" w:name="_Hlk34309601"/>
            <w:r w:rsidRPr="002338EB">
              <w:rPr>
                <w:b/>
                <w:bCs/>
                <w:sz w:val="22"/>
                <w:szCs w:val="22"/>
              </w:rPr>
              <w:t xml:space="preserve">Considerations </w:t>
            </w:r>
          </w:p>
        </w:tc>
        <w:tc>
          <w:tcPr>
            <w:tcW w:w="3118" w:type="dxa"/>
          </w:tcPr>
          <w:p w14:paraId="4B1E80F9" w14:textId="70CF3A57" w:rsidR="002338EB" w:rsidRPr="002338EB" w:rsidRDefault="002338EB" w:rsidP="002338EB">
            <w:pPr>
              <w:pStyle w:val="Paragraph"/>
              <w:spacing w:before="120" w:after="120" w:line="240" w:lineRule="auto"/>
              <w:rPr>
                <w:b/>
                <w:bCs/>
                <w:sz w:val="22"/>
                <w:szCs w:val="22"/>
              </w:rPr>
            </w:pPr>
            <w:r w:rsidRPr="002338EB">
              <w:rPr>
                <w:b/>
                <w:bCs/>
                <w:sz w:val="22"/>
                <w:szCs w:val="22"/>
              </w:rPr>
              <w:t>Assessment</w:t>
            </w:r>
          </w:p>
        </w:tc>
      </w:tr>
      <w:tr w:rsidR="002338EB" w14:paraId="762654B9" w14:textId="77777777" w:rsidTr="002338EB">
        <w:tc>
          <w:tcPr>
            <w:tcW w:w="5949" w:type="dxa"/>
          </w:tcPr>
          <w:p w14:paraId="6F338971" w14:textId="092A6715" w:rsidR="002338EB" w:rsidRPr="00A52CA6" w:rsidRDefault="008C3C03" w:rsidP="002338EB">
            <w:pPr>
              <w:pStyle w:val="Paragraph"/>
              <w:spacing w:before="120" w:after="120" w:line="240" w:lineRule="auto"/>
            </w:pPr>
            <w:r>
              <w:rPr>
                <w:rFonts w:cs="Arial"/>
                <w:sz w:val="22"/>
                <w:szCs w:val="22"/>
              </w:rPr>
              <w:t xml:space="preserve">People with diabetes have an increased risk of cardiovascular disease. </w:t>
            </w:r>
            <w:r w:rsidR="002338EB" w:rsidRPr="00A52CA6">
              <w:rPr>
                <w:rFonts w:cs="Arial"/>
                <w:sz w:val="22"/>
                <w:szCs w:val="22"/>
              </w:rPr>
              <w:t xml:space="preserve">The </w:t>
            </w:r>
            <w:hyperlink r:id="rId7" w:history="1">
              <w:r w:rsidR="002338EB" w:rsidRPr="00A52CA6">
                <w:rPr>
                  <w:rFonts w:cs="Arial"/>
                  <w:color w:val="0000FF"/>
                  <w:sz w:val="22"/>
                  <w:szCs w:val="22"/>
                  <w:u w:val="single"/>
                </w:rPr>
                <w:t>NHS Long Term Plan</w:t>
              </w:r>
            </w:hyperlink>
            <w:r w:rsidR="002338EB" w:rsidRPr="00A52CA6">
              <w:rPr>
                <w:rFonts w:cs="Arial"/>
                <w:sz w:val="22"/>
                <w:szCs w:val="22"/>
              </w:rPr>
              <w:t xml:space="preserve"> identifies cardiovascular disease as a clinical priority, and the single biggest condition where lives can be saved by the NHS over the next 10 years. </w:t>
            </w:r>
          </w:p>
        </w:tc>
        <w:tc>
          <w:tcPr>
            <w:tcW w:w="3118" w:type="dxa"/>
          </w:tcPr>
          <w:p w14:paraId="062E903B" w14:textId="19F53F68" w:rsidR="002338EB" w:rsidRPr="00A52CA6" w:rsidRDefault="002338EB" w:rsidP="002338EB">
            <w:pPr>
              <w:spacing w:before="120" w:after="120"/>
              <w:rPr>
                <w:rFonts w:ascii="Arial" w:hAnsi="Arial" w:cs="Arial"/>
                <w:color w:val="000000"/>
                <w:kern w:val="24"/>
                <w:sz w:val="22"/>
                <w:szCs w:val="22"/>
                <w:lang w:val="en-US"/>
              </w:rPr>
            </w:pPr>
            <w:r w:rsidRPr="00A52CA6">
              <w:rPr>
                <w:rFonts w:ascii="Arial" w:hAnsi="Arial" w:cs="Arial"/>
                <w:color w:val="000000"/>
                <w:kern w:val="24"/>
                <w:sz w:val="22"/>
                <w:szCs w:val="22"/>
                <w:lang w:val="en-US"/>
              </w:rPr>
              <w:t>The indicator reflects a specific priority area identified by NHS England.</w:t>
            </w:r>
          </w:p>
          <w:p w14:paraId="272CA0EC" w14:textId="77777777" w:rsidR="002338EB" w:rsidRPr="00A52CA6" w:rsidRDefault="002338EB" w:rsidP="002338EB">
            <w:pPr>
              <w:pStyle w:val="Paragraph"/>
              <w:spacing w:before="120" w:after="120" w:line="240" w:lineRule="auto"/>
            </w:pPr>
          </w:p>
        </w:tc>
      </w:tr>
      <w:tr w:rsidR="00735337" w14:paraId="2E2CE1C4" w14:textId="77777777" w:rsidTr="002338EB">
        <w:tc>
          <w:tcPr>
            <w:tcW w:w="5949" w:type="dxa"/>
          </w:tcPr>
          <w:p w14:paraId="378D38FD" w14:textId="469D90C2" w:rsidR="00735337" w:rsidRPr="002338EB" w:rsidRDefault="00D34790" w:rsidP="00735337">
            <w:pPr>
              <w:pStyle w:val="Paragraph"/>
              <w:spacing w:before="120" w:after="120" w:line="240" w:lineRule="auto"/>
              <w:rPr>
                <w:highlight w:val="lightGray"/>
              </w:rPr>
            </w:pPr>
            <w:hyperlink r:id="rId8" w:history="1">
              <w:r w:rsidR="001927C0" w:rsidRPr="001927C0">
                <w:rPr>
                  <w:rStyle w:val="Hyperlink"/>
                  <w:rFonts w:cs="Arial"/>
                  <w:sz w:val="22"/>
                  <w:szCs w:val="22"/>
                </w:rPr>
                <w:t>NHS England’s Quality and Outcomes Framework 2023-4</w:t>
              </w:r>
            </w:hyperlink>
            <w:r w:rsidR="001927C0" w:rsidRPr="001927C0">
              <w:rPr>
                <w:rFonts w:cs="Arial"/>
                <w:sz w:val="22"/>
                <w:szCs w:val="22"/>
              </w:rPr>
              <w:t xml:space="preserve"> </w:t>
            </w:r>
            <w:r w:rsidR="003155D8">
              <w:rPr>
                <w:rFonts w:cs="Arial"/>
                <w:sz w:val="22"/>
                <w:szCs w:val="22"/>
              </w:rPr>
              <w:t>indicator DM022 reported an achievement rate of 90.41% for</w:t>
            </w:r>
            <w:r w:rsidR="001927C0" w:rsidRPr="001927C0">
              <w:rPr>
                <w:rFonts w:cs="Arial"/>
                <w:sz w:val="22"/>
                <w:szCs w:val="22"/>
              </w:rPr>
              <w:t xml:space="preserve"> people with diabetes on the register, aged 40 or over with no history of CVD</w:t>
            </w:r>
            <w:r w:rsidR="003155D8">
              <w:rPr>
                <w:rFonts w:cs="Arial"/>
                <w:sz w:val="22"/>
                <w:szCs w:val="22"/>
              </w:rPr>
              <w:t xml:space="preserve"> and without moderate or severe frailty, who </w:t>
            </w:r>
            <w:r w:rsidR="001927C0" w:rsidRPr="001927C0">
              <w:rPr>
                <w:rFonts w:cs="Arial"/>
                <w:sz w:val="22"/>
                <w:szCs w:val="22"/>
              </w:rPr>
              <w:t>were treated with a statin in England.</w:t>
            </w:r>
          </w:p>
        </w:tc>
        <w:tc>
          <w:tcPr>
            <w:tcW w:w="3118" w:type="dxa"/>
          </w:tcPr>
          <w:p w14:paraId="3C8B1CA2" w14:textId="77777777" w:rsidR="00735337" w:rsidRPr="008E28EF" w:rsidRDefault="00735337" w:rsidP="00735337">
            <w:pPr>
              <w:spacing w:before="120" w:after="120"/>
              <w:rPr>
                <w:rFonts w:ascii="Arial" w:hAnsi="Arial" w:cs="Arial"/>
                <w:color w:val="000000"/>
                <w:kern w:val="24"/>
                <w:sz w:val="22"/>
                <w:szCs w:val="22"/>
                <w:lang w:val="en-US"/>
              </w:rPr>
            </w:pPr>
            <w:r w:rsidRPr="00F2157D">
              <w:rPr>
                <w:rFonts w:ascii="Arial" w:hAnsi="Arial" w:cs="Arial"/>
                <w:color w:val="000000"/>
                <w:kern w:val="24"/>
                <w:sz w:val="22"/>
                <w:szCs w:val="22"/>
                <w:lang w:val="en-US"/>
              </w:rPr>
              <w:t>The indicator relates to an area where there is known variation in practice.</w:t>
            </w:r>
          </w:p>
          <w:p w14:paraId="3FD01E72" w14:textId="61448AC7" w:rsidR="00735337" w:rsidRPr="002338EB" w:rsidRDefault="003155D8" w:rsidP="003155D8">
            <w:pPr>
              <w:pStyle w:val="Paragraph"/>
              <w:spacing w:before="120" w:after="120"/>
              <w:rPr>
                <w:highlight w:val="lightGray"/>
              </w:rPr>
            </w:pPr>
            <w:r w:rsidRPr="003155D8">
              <w:rPr>
                <w:rFonts w:cs="Arial"/>
                <w:color w:val="000000"/>
                <w:kern w:val="24"/>
                <w:sz w:val="22"/>
                <w:szCs w:val="22"/>
                <w:lang w:val="en-US"/>
              </w:rPr>
              <w:t>The indicator addresses under-treatment.</w:t>
            </w:r>
          </w:p>
        </w:tc>
      </w:tr>
      <w:tr w:rsidR="00735337" w14:paraId="373D8AA4" w14:textId="77777777" w:rsidTr="002338EB">
        <w:tc>
          <w:tcPr>
            <w:tcW w:w="5949" w:type="dxa"/>
          </w:tcPr>
          <w:p w14:paraId="40A2EA38" w14:textId="5B3BF1B6" w:rsidR="00735337" w:rsidRPr="00AB6032" w:rsidRDefault="001E678B" w:rsidP="00735337">
            <w:pPr>
              <w:spacing w:before="120" w:after="120"/>
              <w:rPr>
                <w:rFonts w:ascii="Arial" w:hAnsi="Arial" w:cs="Arial"/>
                <w:sz w:val="22"/>
                <w:szCs w:val="22"/>
                <w:highlight w:val="cyan"/>
              </w:rPr>
            </w:pPr>
            <w:r w:rsidRPr="001E678B">
              <w:rPr>
                <w:rFonts w:ascii="Arial" w:hAnsi="Arial" w:cs="Arial"/>
                <w:sz w:val="22"/>
                <w:szCs w:val="22"/>
              </w:rPr>
              <w:t>Lipid lowering therapies can help lower LDL cholesterol as part of primary prevention of CVD if lifestyle interventions are ineffective or inappropriate.</w:t>
            </w:r>
          </w:p>
        </w:tc>
        <w:tc>
          <w:tcPr>
            <w:tcW w:w="3118" w:type="dxa"/>
          </w:tcPr>
          <w:p w14:paraId="45004AAC" w14:textId="419FC0A3" w:rsidR="00735337" w:rsidRPr="002338EB" w:rsidRDefault="00735337" w:rsidP="001E678B">
            <w:pPr>
              <w:spacing w:before="120" w:after="120"/>
              <w:rPr>
                <w:rFonts w:ascii="Arial" w:hAnsi="Arial" w:cs="Arial"/>
                <w:color w:val="000000"/>
                <w:kern w:val="24"/>
                <w:sz w:val="22"/>
                <w:szCs w:val="22"/>
                <w:highlight w:val="lightGray"/>
                <w:lang w:val="en-US"/>
              </w:rPr>
            </w:pPr>
            <w:r w:rsidRPr="001E678B">
              <w:rPr>
                <w:rFonts w:ascii="Arial" w:hAnsi="Arial" w:cs="Arial"/>
                <w:color w:val="000000"/>
                <w:kern w:val="24"/>
                <w:sz w:val="22"/>
                <w:szCs w:val="22"/>
                <w:lang w:val="en-US"/>
              </w:rPr>
              <w:t>The indicator will lead to a meaningful improvement in patient outcomes.</w:t>
            </w:r>
          </w:p>
        </w:tc>
      </w:tr>
      <w:bookmarkEnd w:id="0"/>
    </w:tbl>
    <w:p w14:paraId="7408AD42" w14:textId="77777777" w:rsidR="002338EB" w:rsidRDefault="002338EB" w:rsidP="002338EB">
      <w:pPr>
        <w:pStyle w:val="Heading3"/>
      </w:pPr>
    </w:p>
    <w:p w14:paraId="5BA69987" w14:textId="6FA6FB6E" w:rsidR="002338EB" w:rsidRDefault="002338EB" w:rsidP="00192685">
      <w:pPr>
        <w:pStyle w:val="Heading1"/>
      </w:pPr>
      <w:r>
        <w:t xml:space="preserve">Evidence base </w:t>
      </w:r>
    </w:p>
    <w:tbl>
      <w:tblPr>
        <w:tblStyle w:val="TableGrid"/>
        <w:tblW w:w="9067" w:type="dxa"/>
        <w:tblLook w:val="04A0" w:firstRow="1" w:lastRow="0" w:firstColumn="1" w:lastColumn="0" w:noHBand="0" w:noVBand="1"/>
      </w:tblPr>
      <w:tblGrid>
        <w:gridCol w:w="5949"/>
        <w:gridCol w:w="3118"/>
      </w:tblGrid>
      <w:tr w:rsidR="002338EB" w14:paraId="4A03EAF6" w14:textId="77777777" w:rsidTr="001C517D">
        <w:tc>
          <w:tcPr>
            <w:tcW w:w="5949" w:type="dxa"/>
          </w:tcPr>
          <w:p w14:paraId="39775ECC" w14:textId="77777777" w:rsidR="002338EB" w:rsidRPr="002338EB" w:rsidRDefault="002338EB" w:rsidP="00735337">
            <w:pPr>
              <w:pStyle w:val="Paragraph"/>
              <w:keepNext/>
              <w:spacing w:before="120" w:after="120" w:line="240" w:lineRule="auto"/>
              <w:rPr>
                <w:b/>
                <w:bCs/>
                <w:sz w:val="22"/>
                <w:szCs w:val="22"/>
              </w:rPr>
            </w:pPr>
            <w:r w:rsidRPr="002338EB">
              <w:rPr>
                <w:b/>
                <w:bCs/>
                <w:sz w:val="22"/>
                <w:szCs w:val="22"/>
              </w:rPr>
              <w:t xml:space="preserve">Considerations </w:t>
            </w:r>
          </w:p>
        </w:tc>
        <w:tc>
          <w:tcPr>
            <w:tcW w:w="3118" w:type="dxa"/>
          </w:tcPr>
          <w:p w14:paraId="337C7E3E" w14:textId="77777777" w:rsidR="002338EB" w:rsidRPr="002338EB" w:rsidRDefault="002338EB" w:rsidP="00735337">
            <w:pPr>
              <w:pStyle w:val="Paragraph"/>
              <w:keepNext/>
              <w:spacing w:before="120" w:after="120" w:line="240" w:lineRule="auto"/>
              <w:rPr>
                <w:b/>
                <w:bCs/>
                <w:sz w:val="22"/>
                <w:szCs w:val="22"/>
              </w:rPr>
            </w:pPr>
            <w:r w:rsidRPr="002338EB">
              <w:rPr>
                <w:b/>
                <w:bCs/>
                <w:sz w:val="22"/>
                <w:szCs w:val="22"/>
              </w:rPr>
              <w:t>Assessment</w:t>
            </w:r>
          </w:p>
        </w:tc>
      </w:tr>
      <w:tr w:rsidR="002338EB" w14:paraId="7862F909" w14:textId="77777777" w:rsidTr="001C517D">
        <w:tc>
          <w:tcPr>
            <w:tcW w:w="5949" w:type="dxa"/>
          </w:tcPr>
          <w:p w14:paraId="65A6450B" w14:textId="77777777" w:rsidR="00DB2EF6" w:rsidRPr="00DB2EF6" w:rsidRDefault="00D34790" w:rsidP="00DB2EF6">
            <w:pPr>
              <w:pStyle w:val="Bulletleft1"/>
              <w:rPr>
                <w:sz w:val="22"/>
                <w:szCs w:val="22"/>
              </w:rPr>
            </w:pPr>
            <w:hyperlink r:id="rId9" w:history="1">
              <w:r w:rsidR="00DB2EF6" w:rsidRPr="00DB2EF6">
                <w:rPr>
                  <w:rStyle w:val="Hyperlink"/>
                  <w:sz w:val="22"/>
                  <w:szCs w:val="22"/>
                </w:rPr>
                <w:t>Cardiovascular disease: risk assessment and reduction, including lipid modification. NICE guideline NG238</w:t>
              </w:r>
            </w:hyperlink>
            <w:r w:rsidR="00DB2EF6" w:rsidRPr="00DB2EF6">
              <w:rPr>
                <w:sz w:val="22"/>
                <w:szCs w:val="22"/>
              </w:rPr>
              <w:t xml:space="preserve"> (2023), recommendations 1.6.7, 1.6.10 and 1.6.12</w:t>
            </w:r>
          </w:p>
          <w:p w14:paraId="36B3B4F4" w14:textId="77777777" w:rsidR="00DB2EF6" w:rsidRPr="00DB2EF6" w:rsidRDefault="00D34790" w:rsidP="00DB2EF6">
            <w:pPr>
              <w:pStyle w:val="Bulletleft1"/>
              <w:rPr>
                <w:sz w:val="22"/>
                <w:szCs w:val="22"/>
              </w:rPr>
            </w:pPr>
            <w:hyperlink r:id="rId10" w:history="1">
              <w:proofErr w:type="spellStart"/>
              <w:r w:rsidR="00DB2EF6" w:rsidRPr="00DB2EF6">
                <w:rPr>
                  <w:rStyle w:val="Hyperlink"/>
                  <w:sz w:val="22"/>
                  <w:szCs w:val="22"/>
                </w:rPr>
                <w:t>Bempedoic</w:t>
              </w:r>
              <w:proofErr w:type="spellEnd"/>
              <w:r w:rsidR="00DB2EF6" w:rsidRPr="00DB2EF6">
                <w:rPr>
                  <w:rStyle w:val="Hyperlink"/>
                  <w:sz w:val="22"/>
                  <w:szCs w:val="22"/>
                </w:rPr>
                <w:t xml:space="preserve"> acid with ezetimibe for treating primary </w:t>
              </w:r>
              <w:proofErr w:type="spellStart"/>
              <w:r w:rsidR="00DB2EF6" w:rsidRPr="00DB2EF6">
                <w:rPr>
                  <w:rStyle w:val="Hyperlink"/>
                  <w:sz w:val="22"/>
                  <w:szCs w:val="22"/>
                </w:rPr>
                <w:t>hypercholesterolaemia</w:t>
              </w:r>
              <w:proofErr w:type="spellEnd"/>
              <w:r w:rsidR="00DB2EF6" w:rsidRPr="00DB2EF6">
                <w:rPr>
                  <w:rStyle w:val="Hyperlink"/>
                  <w:sz w:val="22"/>
                  <w:szCs w:val="22"/>
                </w:rPr>
                <w:t xml:space="preserve"> or mixed </w:t>
              </w:r>
              <w:proofErr w:type="spellStart"/>
              <w:r w:rsidR="00DB2EF6" w:rsidRPr="00DB2EF6">
                <w:rPr>
                  <w:rStyle w:val="Hyperlink"/>
                  <w:sz w:val="22"/>
                  <w:szCs w:val="22"/>
                </w:rPr>
                <w:t>dyslipidaemia</w:t>
              </w:r>
              <w:proofErr w:type="spellEnd"/>
              <w:r w:rsidR="00DB2EF6" w:rsidRPr="00DB2EF6">
                <w:rPr>
                  <w:rStyle w:val="Hyperlink"/>
                  <w:sz w:val="22"/>
                  <w:szCs w:val="22"/>
                </w:rPr>
                <w:t>. NICE technology appraisal guidance 694</w:t>
              </w:r>
            </w:hyperlink>
            <w:r w:rsidR="00DB2EF6" w:rsidRPr="00DB2EF6">
              <w:rPr>
                <w:sz w:val="22"/>
                <w:szCs w:val="22"/>
              </w:rPr>
              <w:t xml:space="preserve"> (2021)</w:t>
            </w:r>
          </w:p>
          <w:p w14:paraId="2731B515" w14:textId="77777777" w:rsidR="00DB2EF6" w:rsidRPr="00DB2EF6" w:rsidRDefault="00D34790" w:rsidP="00DB2EF6">
            <w:pPr>
              <w:pStyle w:val="Bulletleft1"/>
              <w:rPr>
                <w:rStyle w:val="Hyperlink"/>
                <w:color w:val="000000"/>
                <w:sz w:val="22"/>
                <w:szCs w:val="22"/>
              </w:rPr>
            </w:pPr>
            <w:hyperlink r:id="rId11" w:history="1">
              <w:proofErr w:type="spellStart"/>
              <w:r w:rsidR="00DB2EF6" w:rsidRPr="00DB2EF6">
                <w:rPr>
                  <w:rStyle w:val="Hyperlink"/>
                  <w:sz w:val="22"/>
                  <w:szCs w:val="22"/>
                </w:rPr>
                <w:t>Evolocumab</w:t>
              </w:r>
              <w:proofErr w:type="spellEnd"/>
              <w:r w:rsidR="00DB2EF6" w:rsidRPr="00DB2EF6">
                <w:rPr>
                  <w:rStyle w:val="Hyperlink"/>
                  <w:sz w:val="22"/>
                  <w:szCs w:val="22"/>
                </w:rPr>
                <w:t xml:space="preserve"> for treating primary </w:t>
              </w:r>
              <w:proofErr w:type="spellStart"/>
              <w:r w:rsidR="00DB2EF6" w:rsidRPr="00DB2EF6">
                <w:rPr>
                  <w:rStyle w:val="Hyperlink"/>
                  <w:sz w:val="22"/>
                  <w:szCs w:val="22"/>
                </w:rPr>
                <w:t>hypercholesterolaemia</w:t>
              </w:r>
              <w:proofErr w:type="spellEnd"/>
              <w:r w:rsidR="00DB2EF6" w:rsidRPr="00DB2EF6">
                <w:rPr>
                  <w:rStyle w:val="Hyperlink"/>
                  <w:sz w:val="22"/>
                  <w:szCs w:val="22"/>
                </w:rPr>
                <w:t xml:space="preserve"> and mixed </w:t>
              </w:r>
              <w:proofErr w:type="spellStart"/>
              <w:r w:rsidR="00DB2EF6" w:rsidRPr="00DB2EF6">
                <w:rPr>
                  <w:rStyle w:val="Hyperlink"/>
                  <w:sz w:val="22"/>
                  <w:szCs w:val="22"/>
                </w:rPr>
                <w:t>dyslipidaemia</w:t>
              </w:r>
              <w:proofErr w:type="spellEnd"/>
              <w:r w:rsidR="00DB2EF6" w:rsidRPr="00DB2EF6">
                <w:rPr>
                  <w:rStyle w:val="Hyperlink"/>
                  <w:sz w:val="22"/>
                  <w:szCs w:val="22"/>
                </w:rPr>
                <w:t>. NICE technology appraisal guidance 394</w:t>
              </w:r>
            </w:hyperlink>
            <w:r w:rsidR="00DB2EF6" w:rsidRPr="00DB2EF6">
              <w:rPr>
                <w:rStyle w:val="Hyperlink"/>
                <w:sz w:val="22"/>
                <w:szCs w:val="22"/>
              </w:rPr>
              <w:t xml:space="preserve"> </w:t>
            </w:r>
            <w:r w:rsidR="00DB2EF6" w:rsidRPr="00DB2EF6">
              <w:rPr>
                <w:rStyle w:val="Hyperlink"/>
                <w:color w:val="000000"/>
                <w:sz w:val="22"/>
                <w:szCs w:val="22"/>
              </w:rPr>
              <w:t>(2016)</w:t>
            </w:r>
          </w:p>
          <w:p w14:paraId="38FCA233" w14:textId="77777777" w:rsidR="00DB2EF6" w:rsidRPr="00171DDB" w:rsidRDefault="00D34790" w:rsidP="00DB2EF6">
            <w:pPr>
              <w:pStyle w:val="Bulletleft1"/>
              <w:rPr>
                <w:rStyle w:val="Hyperlink"/>
                <w:sz w:val="22"/>
                <w:szCs w:val="22"/>
              </w:rPr>
            </w:pPr>
            <w:hyperlink r:id="rId12" w:history="1">
              <w:r w:rsidR="00DB2EF6" w:rsidRPr="00171DDB">
                <w:rPr>
                  <w:rStyle w:val="Hyperlink"/>
                  <w:sz w:val="22"/>
                  <w:szCs w:val="22"/>
                </w:rPr>
                <w:t xml:space="preserve">Alirocumab for treating primary </w:t>
              </w:r>
              <w:proofErr w:type="spellStart"/>
              <w:r w:rsidR="00DB2EF6" w:rsidRPr="00171DDB">
                <w:rPr>
                  <w:rStyle w:val="Hyperlink"/>
                  <w:sz w:val="22"/>
                  <w:szCs w:val="22"/>
                </w:rPr>
                <w:t>hypercholesterolaemia</w:t>
              </w:r>
              <w:proofErr w:type="spellEnd"/>
              <w:r w:rsidR="00DB2EF6" w:rsidRPr="00171DDB">
                <w:rPr>
                  <w:rStyle w:val="Hyperlink"/>
                  <w:sz w:val="22"/>
                  <w:szCs w:val="22"/>
                </w:rPr>
                <w:t xml:space="preserve"> and mixed </w:t>
              </w:r>
              <w:proofErr w:type="spellStart"/>
              <w:r w:rsidR="00DB2EF6" w:rsidRPr="00171DDB">
                <w:rPr>
                  <w:rStyle w:val="Hyperlink"/>
                  <w:sz w:val="22"/>
                  <w:szCs w:val="22"/>
                </w:rPr>
                <w:t>dyslipidaemia</w:t>
              </w:r>
              <w:proofErr w:type="spellEnd"/>
              <w:r w:rsidR="00DB2EF6" w:rsidRPr="00171DDB">
                <w:rPr>
                  <w:rStyle w:val="Hyperlink"/>
                  <w:sz w:val="22"/>
                  <w:szCs w:val="22"/>
                </w:rPr>
                <w:t>. NICE technology appraisal guidance 393</w:t>
              </w:r>
            </w:hyperlink>
            <w:r w:rsidR="00DB2EF6" w:rsidRPr="00171DDB">
              <w:rPr>
                <w:rStyle w:val="Hyperlink"/>
                <w:sz w:val="22"/>
                <w:szCs w:val="22"/>
              </w:rPr>
              <w:t xml:space="preserve"> </w:t>
            </w:r>
            <w:r w:rsidR="00DB2EF6" w:rsidRPr="00171DDB">
              <w:rPr>
                <w:rStyle w:val="Hyperlink"/>
                <w:color w:val="000000"/>
                <w:sz w:val="22"/>
                <w:szCs w:val="22"/>
              </w:rPr>
              <w:t>(2016)</w:t>
            </w:r>
          </w:p>
          <w:p w14:paraId="1359C26D" w14:textId="48200A41" w:rsidR="00171DDB" w:rsidRPr="00171DDB" w:rsidRDefault="00D34790" w:rsidP="00171DDB">
            <w:pPr>
              <w:pStyle w:val="Bulletleft1last"/>
            </w:pPr>
            <w:hyperlink r:id="rId13" w:history="1">
              <w:r w:rsidR="00DB2EF6" w:rsidRPr="00171DDB">
                <w:rPr>
                  <w:rStyle w:val="Hyperlink"/>
                  <w:sz w:val="22"/>
                  <w:szCs w:val="22"/>
                </w:rPr>
                <w:t xml:space="preserve">Ezetimibe for treating primary heterozygous-familial and non-familial </w:t>
              </w:r>
              <w:proofErr w:type="spellStart"/>
              <w:r w:rsidR="00DB2EF6" w:rsidRPr="00171DDB">
                <w:rPr>
                  <w:rStyle w:val="Hyperlink"/>
                  <w:sz w:val="22"/>
                  <w:szCs w:val="22"/>
                </w:rPr>
                <w:t>hypercholesterolaemia</w:t>
              </w:r>
              <w:proofErr w:type="spellEnd"/>
              <w:r w:rsidR="00DB2EF6" w:rsidRPr="00171DDB">
                <w:rPr>
                  <w:rStyle w:val="Hyperlink"/>
                  <w:sz w:val="22"/>
                  <w:szCs w:val="22"/>
                </w:rPr>
                <w:t>. NICE technology appraisal guidance 385</w:t>
              </w:r>
            </w:hyperlink>
            <w:r w:rsidR="00DB2EF6" w:rsidRPr="00171DDB">
              <w:rPr>
                <w:sz w:val="22"/>
                <w:szCs w:val="22"/>
              </w:rPr>
              <w:t xml:space="preserve"> (2016)</w:t>
            </w:r>
          </w:p>
        </w:tc>
        <w:tc>
          <w:tcPr>
            <w:tcW w:w="3118" w:type="dxa"/>
          </w:tcPr>
          <w:p w14:paraId="0D72329A" w14:textId="54F94FB4" w:rsidR="002338EB" w:rsidRPr="00DB2EF6" w:rsidRDefault="002338EB" w:rsidP="002338EB">
            <w:pPr>
              <w:spacing w:before="120" w:after="120"/>
              <w:rPr>
                <w:rFonts w:ascii="Arial" w:hAnsi="Arial" w:cs="Arial"/>
                <w:color w:val="000000"/>
                <w:kern w:val="24"/>
                <w:sz w:val="22"/>
                <w:szCs w:val="22"/>
                <w:lang w:val="en-US"/>
              </w:rPr>
            </w:pPr>
            <w:r w:rsidRPr="00DB2EF6">
              <w:rPr>
                <w:rFonts w:ascii="Arial" w:hAnsi="Arial" w:cs="Arial"/>
                <w:color w:val="000000"/>
                <w:kern w:val="24"/>
                <w:sz w:val="22"/>
                <w:szCs w:val="22"/>
                <w:lang w:val="en-US"/>
              </w:rPr>
              <w:lastRenderedPageBreak/>
              <w:t xml:space="preserve">The indicator is derived from a high-quality evidence base. </w:t>
            </w:r>
          </w:p>
          <w:p w14:paraId="75848804" w14:textId="06BF66B2" w:rsidR="002338EB" w:rsidRPr="00DB2EF6" w:rsidRDefault="002338EB" w:rsidP="002338EB">
            <w:pPr>
              <w:pStyle w:val="Paragraph"/>
              <w:spacing w:before="120" w:after="120" w:line="240" w:lineRule="auto"/>
            </w:pPr>
          </w:p>
        </w:tc>
      </w:tr>
    </w:tbl>
    <w:p w14:paraId="3393013A" w14:textId="29A2DB06" w:rsidR="002338EB" w:rsidRDefault="002338EB" w:rsidP="002338EB">
      <w:pPr>
        <w:pStyle w:val="Paragraph"/>
      </w:pPr>
    </w:p>
    <w:p w14:paraId="67B93D8F" w14:textId="6D992C33" w:rsidR="002338EB" w:rsidRPr="002338EB" w:rsidRDefault="002338EB" w:rsidP="00192685">
      <w:pPr>
        <w:pStyle w:val="Heading1"/>
      </w:pPr>
      <w:r>
        <w:t xml:space="preserve">Specification </w:t>
      </w:r>
    </w:p>
    <w:tbl>
      <w:tblPr>
        <w:tblStyle w:val="TableGrid"/>
        <w:tblW w:w="9067" w:type="dxa"/>
        <w:tblLook w:val="04A0" w:firstRow="1" w:lastRow="0" w:firstColumn="1" w:lastColumn="0" w:noHBand="0" w:noVBand="1"/>
      </w:tblPr>
      <w:tblGrid>
        <w:gridCol w:w="5949"/>
        <w:gridCol w:w="3118"/>
      </w:tblGrid>
      <w:tr w:rsidR="002338EB" w14:paraId="33FA0B31" w14:textId="77777777" w:rsidTr="001C517D">
        <w:tc>
          <w:tcPr>
            <w:tcW w:w="5949" w:type="dxa"/>
          </w:tcPr>
          <w:p w14:paraId="7BD8EB75" w14:textId="77777777" w:rsidR="002338EB" w:rsidRPr="002338EB" w:rsidRDefault="002338EB" w:rsidP="001C517D">
            <w:pPr>
              <w:pStyle w:val="Paragraph"/>
              <w:spacing w:before="120" w:after="120" w:line="240" w:lineRule="auto"/>
              <w:rPr>
                <w:b/>
                <w:bCs/>
                <w:sz w:val="22"/>
                <w:szCs w:val="22"/>
              </w:rPr>
            </w:pPr>
            <w:r w:rsidRPr="002338EB">
              <w:rPr>
                <w:b/>
                <w:bCs/>
                <w:sz w:val="22"/>
                <w:szCs w:val="22"/>
              </w:rPr>
              <w:t xml:space="preserve">Considerations </w:t>
            </w:r>
          </w:p>
        </w:tc>
        <w:tc>
          <w:tcPr>
            <w:tcW w:w="3118" w:type="dxa"/>
          </w:tcPr>
          <w:p w14:paraId="4BCDDF3D" w14:textId="77777777" w:rsidR="002338EB" w:rsidRPr="002338EB" w:rsidRDefault="002338EB" w:rsidP="001C517D">
            <w:pPr>
              <w:pStyle w:val="Paragraph"/>
              <w:spacing w:before="120" w:after="120" w:line="240" w:lineRule="auto"/>
              <w:rPr>
                <w:b/>
                <w:bCs/>
                <w:sz w:val="22"/>
                <w:szCs w:val="22"/>
              </w:rPr>
            </w:pPr>
            <w:r w:rsidRPr="002338EB">
              <w:rPr>
                <w:b/>
                <w:bCs/>
                <w:sz w:val="22"/>
                <w:szCs w:val="22"/>
              </w:rPr>
              <w:t>Assessment</w:t>
            </w:r>
          </w:p>
        </w:tc>
      </w:tr>
      <w:tr w:rsidR="002338EB" w14:paraId="3E61DC2D" w14:textId="77777777" w:rsidTr="001C517D">
        <w:tc>
          <w:tcPr>
            <w:tcW w:w="5949" w:type="dxa"/>
          </w:tcPr>
          <w:p w14:paraId="11CC97AE" w14:textId="65C7BD33" w:rsidR="00BE1F45" w:rsidRPr="003B4C79" w:rsidRDefault="002338EB" w:rsidP="00BE1F45">
            <w:pPr>
              <w:spacing w:before="120" w:after="120"/>
              <w:rPr>
                <w:rFonts w:ascii="Arial" w:hAnsi="Arial" w:cs="Arial"/>
                <w:color w:val="000000"/>
                <w:kern w:val="24"/>
                <w:sz w:val="22"/>
                <w:szCs w:val="22"/>
              </w:rPr>
            </w:pPr>
            <w:r w:rsidRPr="003B4C79">
              <w:rPr>
                <w:rFonts w:ascii="Arial" w:hAnsi="Arial" w:cs="Arial"/>
                <w:color w:val="000000"/>
                <w:kern w:val="24"/>
                <w:sz w:val="22"/>
                <w:szCs w:val="22"/>
              </w:rPr>
              <w:t xml:space="preserve">Numerator: </w:t>
            </w:r>
            <w:r w:rsidR="003B4C79" w:rsidRPr="003B4C79">
              <w:rPr>
                <w:rFonts w:ascii="Arial" w:hAnsi="Arial" w:cs="Arial"/>
                <w:color w:val="000000"/>
                <w:kern w:val="24"/>
                <w:sz w:val="22"/>
                <w:szCs w:val="22"/>
              </w:rPr>
              <w:t>The number of patients in the denominator who are currently treated with a lipid-lowering therapy.</w:t>
            </w:r>
          </w:p>
          <w:p w14:paraId="424261B6" w14:textId="1F0FA6EF" w:rsidR="002338EB" w:rsidRPr="003B4C79" w:rsidRDefault="00BE1F45" w:rsidP="00BE1F45">
            <w:pPr>
              <w:spacing w:before="120" w:after="120"/>
              <w:rPr>
                <w:rFonts w:ascii="Arial" w:hAnsi="Arial" w:cs="Arial"/>
                <w:color w:val="000000"/>
                <w:kern w:val="24"/>
                <w:sz w:val="22"/>
                <w:szCs w:val="22"/>
              </w:rPr>
            </w:pPr>
            <w:r w:rsidRPr="003B4C79">
              <w:rPr>
                <w:rFonts w:ascii="Arial" w:hAnsi="Arial" w:cs="Arial"/>
                <w:color w:val="000000"/>
                <w:kern w:val="24"/>
                <w:sz w:val="22"/>
                <w:szCs w:val="22"/>
              </w:rPr>
              <w:t xml:space="preserve">Denominator: </w:t>
            </w:r>
            <w:r w:rsidR="003B4C79" w:rsidRPr="003B4C79">
              <w:rPr>
                <w:rFonts w:ascii="Arial" w:hAnsi="Arial" w:cs="Arial"/>
                <w:color w:val="000000"/>
                <w:kern w:val="24"/>
                <w:sz w:val="22"/>
                <w:szCs w:val="22"/>
              </w:rPr>
              <w:t>The number of patients with diabetes aged 40 years and over, with no history of cardiovascular disease and without moderate or severe frailty</w:t>
            </w:r>
            <w:r w:rsidR="002338EB" w:rsidRPr="003B4C79">
              <w:rPr>
                <w:rFonts w:ascii="Arial" w:hAnsi="Arial" w:cs="Arial"/>
                <w:color w:val="000000"/>
                <w:kern w:val="24"/>
                <w:sz w:val="22"/>
                <w:szCs w:val="22"/>
              </w:rPr>
              <w:t xml:space="preserve">. </w:t>
            </w:r>
          </w:p>
          <w:p w14:paraId="65AFDE55" w14:textId="4DBBAF73" w:rsidR="001A3CA6" w:rsidRDefault="001A3CA6" w:rsidP="00BE1F45">
            <w:pPr>
              <w:spacing w:before="120" w:after="120"/>
              <w:rPr>
                <w:rFonts w:ascii="Arial" w:hAnsi="Arial" w:cs="Arial"/>
                <w:color w:val="000000"/>
                <w:kern w:val="24"/>
                <w:sz w:val="22"/>
                <w:szCs w:val="22"/>
              </w:rPr>
            </w:pPr>
            <w:r w:rsidRPr="003B4C79">
              <w:rPr>
                <w:rFonts w:ascii="Arial" w:hAnsi="Arial" w:cs="Arial"/>
                <w:color w:val="000000"/>
                <w:kern w:val="24"/>
                <w:sz w:val="22"/>
                <w:szCs w:val="22"/>
              </w:rPr>
              <w:t xml:space="preserve">Exclusions: </w:t>
            </w:r>
          </w:p>
          <w:p w14:paraId="44D1B982" w14:textId="4F3E5E6F" w:rsidR="003B4C79" w:rsidRPr="003B4C79" w:rsidRDefault="003B4C79" w:rsidP="003B4C79">
            <w:pPr>
              <w:pStyle w:val="Bulletleft1"/>
              <w:rPr>
                <w:sz w:val="22"/>
                <w:szCs w:val="22"/>
              </w:rPr>
            </w:pPr>
            <w:r w:rsidRPr="003B4C79">
              <w:rPr>
                <w:sz w:val="22"/>
                <w:szCs w:val="22"/>
              </w:rPr>
              <w:t xml:space="preserve">People with diagnosed cardiovascular disease (see IND276). </w:t>
            </w:r>
          </w:p>
          <w:p w14:paraId="189C8618" w14:textId="5750ECC9" w:rsidR="003B4C79" w:rsidRPr="003B4C79" w:rsidRDefault="003B4C79" w:rsidP="003B4C79">
            <w:pPr>
              <w:pStyle w:val="Bulletleft1last"/>
              <w:rPr>
                <w:sz w:val="22"/>
                <w:szCs w:val="22"/>
              </w:rPr>
            </w:pPr>
            <w:r w:rsidRPr="003B4C79">
              <w:rPr>
                <w:sz w:val="22"/>
                <w:szCs w:val="22"/>
              </w:rPr>
              <w:t>Patients with type 2 diabetes and a cardiovascular disease risk score of less than 10% recorded in the preceding 3 years (as lipid-lowering therapy may not be needed).</w:t>
            </w:r>
          </w:p>
          <w:p w14:paraId="3ED14A55" w14:textId="77777777" w:rsidR="003B4C79" w:rsidRPr="003B4C79" w:rsidRDefault="00CE5520" w:rsidP="002338EB">
            <w:pPr>
              <w:pStyle w:val="Paragraph"/>
              <w:spacing w:before="120" w:after="120" w:line="240" w:lineRule="auto"/>
              <w:rPr>
                <w:rFonts w:cs="Arial"/>
                <w:color w:val="000000"/>
                <w:kern w:val="24"/>
                <w:sz w:val="22"/>
                <w:szCs w:val="22"/>
              </w:rPr>
            </w:pPr>
            <w:r w:rsidRPr="003B4C79">
              <w:rPr>
                <w:rFonts w:cs="Arial"/>
                <w:color w:val="000000"/>
                <w:kern w:val="24"/>
                <w:sz w:val="22"/>
                <w:szCs w:val="22"/>
              </w:rPr>
              <w:t xml:space="preserve">Definitions: </w:t>
            </w:r>
          </w:p>
          <w:p w14:paraId="318285DA" w14:textId="77777777" w:rsidR="003B4C79" w:rsidRPr="003B4C79" w:rsidRDefault="003B4C79" w:rsidP="003B4C79">
            <w:pPr>
              <w:pStyle w:val="Bulletleft1"/>
              <w:rPr>
                <w:sz w:val="22"/>
                <w:szCs w:val="22"/>
              </w:rPr>
            </w:pPr>
            <w:r w:rsidRPr="003B4C79">
              <w:rPr>
                <w:sz w:val="22"/>
                <w:szCs w:val="22"/>
              </w:rPr>
              <w:t>Cardiovascular disease is defined as angina, previous myocardial infarction, revascularisation, stroke or TIA or symptomatic peripheral arterial disease.</w:t>
            </w:r>
          </w:p>
          <w:p w14:paraId="299E2135" w14:textId="7755C7DF" w:rsidR="00CE5520" w:rsidRPr="003B4C79" w:rsidRDefault="003B4C79" w:rsidP="003B4C79">
            <w:pPr>
              <w:pStyle w:val="Bulletleft1last"/>
              <w:rPr>
                <w:sz w:val="22"/>
                <w:szCs w:val="22"/>
              </w:rPr>
            </w:pPr>
            <w:r w:rsidRPr="003B4C79">
              <w:rPr>
                <w:sz w:val="22"/>
                <w:szCs w:val="22"/>
              </w:rPr>
              <w:t>Current treatment with a lipid-lowering therapy is defined as prescription of a statin or non-statin lipid-</w:t>
            </w:r>
            <w:r w:rsidRPr="003B4C79">
              <w:rPr>
                <w:sz w:val="22"/>
                <w:szCs w:val="22"/>
              </w:rPr>
              <w:lastRenderedPageBreak/>
              <w:t>lowering therapy in the last 6 months of the reporting period.</w:t>
            </w:r>
          </w:p>
          <w:p w14:paraId="1A8C1D16" w14:textId="02431235" w:rsidR="00735337" w:rsidRPr="002338EB" w:rsidRDefault="003B4C79" w:rsidP="00F17CD4">
            <w:pPr>
              <w:pStyle w:val="Paragraph"/>
              <w:spacing w:before="120" w:after="120"/>
              <w:rPr>
                <w:highlight w:val="lightGray"/>
              </w:rPr>
            </w:pPr>
            <w:r>
              <w:rPr>
                <w:rFonts w:cs="Arial"/>
                <w:color w:val="000000"/>
                <w:kern w:val="24"/>
                <w:sz w:val="22"/>
                <w:szCs w:val="22"/>
              </w:rPr>
              <w:t>P</w:t>
            </w:r>
            <w:r w:rsidR="001A3CA6" w:rsidRPr="003B4C79">
              <w:rPr>
                <w:rFonts w:cs="Arial"/>
                <w:color w:val="000000"/>
                <w:kern w:val="24"/>
                <w:sz w:val="22"/>
                <w:szCs w:val="22"/>
              </w:rPr>
              <w:t xml:space="preserve">ersonalised care adjustments or exception reporting should be considered to account for situations where the patient declines, does not attend or if </w:t>
            </w:r>
            <w:r>
              <w:rPr>
                <w:rFonts w:cs="Arial"/>
                <w:color w:val="000000"/>
                <w:kern w:val="24"/>
                <w:sz w:val="22"/>
                <w:szCs w:val="22"/>
              </w:rPr>
              <w:t xml:space="preserve">treatment with a lipid-lowering therapy </w:t>
            </w:r>
            <w:r w:rsidR="001A3CA6" w:rsidRPr="003B4C79">
              <w:rPr>
                <w:rFonts w:cs="Arial"/>
                <w:color w:val="000000"/>
                <w:kern w:val="24"/>
                <w:sz w:val="22"/>
                <w:szCs w:val="22"/>
              </w:rPr>
              <w:t>is not appropriate.</w:t>
            </w:r>
          </w:p>
        </w:tc>
        <w:tc>
          <w:tcPr>
            <w:tcW w:w="3118" w:type="dxa"/>
          </w:tcPr>
          <w:p w14:paraId="1439227D" w14:textId="5A1A009F" w:rsidR="002338EB" w:rsidRPr="003B4C79" w:rsidRDefault="002338EB" w:rsidP="002338EB">
            <w:pPr>
              <w:spacing w:before="120" w:after="120"/>
              <w:rPr>
                <w:rFonts w:ascii="Arial" w:hAnsi="Arial" w:cs="Arial"/>
                <w:color w:val="000000"/>
                <w:kern w:val="24"/>
                <w:sz w:val="22"/>
                <w:szCs w:val="22"/>
              </w:rPr>
            </w:pPr>
            <w:r w:rsidRPr="003B4C79">
              <w:rPr>
                <w:rFonts w:ascii="Arial" w:hAnsi="Arial" w:cs="Arial"/>
                <w:color w:val="000000"/>
                <w:kern w:val="24"/>
                <w:sz w:val="22"/>
                <w:szCs w:val="22"/>
              </w:rPr>
              <w:lastRenderedPageBreak/>
              <w:t>The indicator has defined components necessary to construct the indicator, including numerator, denominator and exclusions.</w:t>
            </w:r>
          </w:p>
          <w:p w14:paraId="0C449702" w14:textId="77777777" w:rsidR="002338EB" w:rsidRPr="002338EB" w:rsidRDefault="002338EB" w:rsidP="002338EB">
            <w:pPr>
              <w:pStyle w:val="Paragraph"/>
              <w:spacing w:before="120" w:after="120" w:line="240" w:lineRule="auto"/>
              <w:rPr>
                <w:highlight w:val="lightGray"/>
              </w:rPr>
            </w:pPr>
          </w:p>
        </w:tc>
      </w:tr>
      <w:tr w:rsidR="002338EB" w14:paraId="48133640" w14:textId="77777777" w:rsidTr="001C517D">
        <w:tc>
          <w:tcPr>
            <w:tcW w:w="5949" w:type="dxa"/>
          </w:tcPr>
          <w:p w14:paraId="4B4889E2" w14:textId="35CC0434" w:rsidR="002C1326" w:rsidRPr="00171DDB" w:rsidRDefault="00F3442A" w:rsidP="00171DDB">
            <w:pPr>
              <w:pStyle w:val="Paragraph"/>
              <w:spacing w:before="120" w:after="120"/>
              <w:rPr>
                <w:rFonts w:cs="Arial"/>
                <w:color w:val="000000"/>
                <w:kern w:val="24"/>
                <w:sz w:val="22"/>
                <w:szCs w:val="22"/>
                <w:highlight w:val="lightGray"/>
              </w:rPr>
            </w:pPr>
            <w:r w:rsidRPr="004A4527">
              <w:rPr>
                <w:rFonts w:cs="Arial"/>
                <w:color w:val="000000"/>
                <w:kern w:val="24"/>
                <w:sz w:val="22"/>
                <w:szCs w:val="22"/>
              </w:rPr>
              <w:t xml:space="preserve">To be classified as suitable for use in QOF, there should be an average minimum population of more than 20 patients per practice eligible for inclusion in the denominator prior to application of personalised care adjustments. </w:t>
            </w:r>
            <w:r w:rsidR="004A4527">
              <w:rPr>
                <w:rFonts w:cs="Arial"/>
                <w:color w:val="000000"/>
                <w:kern w:val="24"/>
                <w:sz w:val="22"/>
                <w:szCs w:val="22"/>
              </w:rPr>
              <w:t>QOF data for 2023 to 2024</w:t>
            </w:r>
            <w:r w:rsidRPr="004A4527">
              <w:rPr>
                <w:rFonts w:cs="Arial"/>
                <w:color w:val="000000"/>
                <w:kern w:val="24"/>
                <w:sz w:val="22"/>
                <w:szCs w:val="22"/>
              </w:rPr>
              <w:t xml:space="preserve"> shows that an average practice with 10,000 patients would have around </w:t>
            </w:r>
            <w:r w:rsidR="004A4527">
              <w:rPr>
                <w:rFonts w:cs="Arial"/>
                <w:color w:val="000000"/>
                <w:kern w:val="24"/>
                <w:sz w:val="22"/>
                <w:szCs w:val="22"/>
              </w:rPr>
              <w:t>320</w:t>
            </w:r>
            <w:r w:rsidRPr="004A4527">
              <w:rPr>
                <w:rFonts w:cs="Arial"/>
                <w:color w:val="000000"/>
                <w:kern w:val="24"/>
                <w:sz w:val="22"/>
                <w:szCs w:val="22"/>
              </w:rPr>
              <w:t xml:space="preserve"> eligible patients</w:t>
            </w:r>
            <w:r w:rsidR="00171DDB" w:rsidRPr="004A4527">
              <w:rPr>
                <w:rFonts w:cs="Arial"/>
                <w:color w:val="000000"/>
                <w:kern w:val="24"/>
                <w:sz w:val="22"/>
                <w:szCs w:val="22"/>
              </w:rPr>
              <w:t>.</w:t>
            </w:r>
          </w:p>
        </w:tc>
        <w:tc>
          <w:tcPr>
            <w:tcW w:w="3118" w:type="dxa"/>
          </w:tcPr>
          <w:p w14:paraId="1567BE59" w14:textId="512DC5A3" w:rsidR="002338EB" w:rsidRPr="004A4527" w:rsidRDefault="002338EB" w:rsidP="002338EB">
            <w:pPr>
              <w:pStyle w:val="Paragraph"/>
              <w:spacing w:before="120" w:after="120" w:line="240" w:lineRule="auto"/>
              <w:rPr>
                <w:rFonts w:cs="Arial"/>
                <w:color w:val="000000"/>
                <w:kern w:val="24"/>
                <w:sz w:val="22"/>
                <w:szCs w:val="22"/>
              </w:rPr>
            </w:pPr>
            <w:r w:rsidRPr="004A4527">
              <w:rPr>
                <w:rFonts w:cs="Arial"/>
                <w:color w:val="000000"/>
                <w:kern w:val="24"/>
                <w:sz w:val="22"/>
                <w:szCs w:val="22"/>
              </w:rPr>
              <w:t xml:space="preserve">The indicator </w:t>
            </w:r>
            <w:r w:rsidR="002C1326" w:rsidRPr="004A4527">
              <w:rPr>
                <w:rFonts w:cs="Arial"/>
                <w:color w:val="000000"/>
                <w:kern w:val="24"/>
                <w:sz w:val="22"/>
                <w:szCs w:val="22"/>
              </w:rPr>
              <w:t>does</w:t>
            </w:r>
            <w:r w:rsidRPr="004A4527">
              <w:rPr>
                <w:rFonts w:cs="Arial"/>
                <w:color w:val="000000"/>
                <w:kern w:val="24"/>
                <w:sz w:val="22"/>
                <w:szCs w:val="22"/>
              </w:rPr>
              <w:t xml:space="preserve"> outline minimum numbers of patients needed to be confident in the assessment of variation.</w:t>
            </w:r>
          </w:p>
          <w:p w14:paraId="38DE6D48" w14:textId="67D6C641" w:rsidR="000C4A97" w:rsidRPr="002338EB" w:rsidRDefault="000C4A97" w:rsidP="002338EB">
            <w:pPr>
              <w:pStyle w:val="Paragraph"/>
              <w:spacing w:before="120" w:after="120" w:line="240" w:lineRule="auto"/>
              <w:rPr>
                <w:highlight w:val="lightGray"/>
              </w:rPr>
            </w:pPr>
          </w:p>
        </w:tc>
      </w:tr>
    </w:tbl>
    <w:p w14:paraId="1F89E1DD" w14:textId="24151FF3" w:rsidR="002338EB" w:rsidRDefault="002338EB" w:rsidP="002338EB">
      <w:pPr>
        <w:pStyle w:val="Paragraph"/>
      </w:pPr>
    </w:p>
    <w:p w14:paraId="597779EE" w14:textId="5E0747D0" w:rsidR="002338EB" w:rsidRDefault="002338EB" w:rsidP="00192685">
      <w:pPr>
        <w:pStyle w:val="Heading1"/>
      </w:pPr>
      <w:r>
        <w:t xml:space="preserve">Feasibility </w:t>
      </w:r>
    </w:p>
    <w:tbl>
      <w:tblPr>
        <w:tblStyle w:val="TableGrid"/>
        <w:tblW w:w="9067" w:type="dxa"/>
        <w:tblLook w:val="04A0" w:firstRow="1" w:lastRow="0" w:firstColumn="1" w:lastColumn="0" w:noHBand="0" w:noVBand="1"/>
      </w:tblPr>
      <w:tblGrid>
        <w:gridCol w:w="5949"/>
        <w:gridCol w:w="3118"/>
      </w:tblGrid>
      <w:tr w:rsidR="002338EB" w14:paraId="40453993" w14:textId="77777777" w:rsidTr="001C517D">
        <w:tc>
          <w:tcPr>
            <w:tcW w:w="5949" w:type="dxa"/>
          </w:tcPr>
          <w:p w14:paraId="1B5D3E68" w14:textId="77777777" w:rsidR="002338EB" w:rsidRPr="00735337" w:rsidRDefault="002338EB" w:rsidP="001C517D">
            <w:pPr>
              <w:pStyle w:val="Paragraph"/>
              <w:spacing w:before="120" w:after="120" w:line="240" w:lineRule="auto"/>
              <w:rPr>
                <w:b/>
                <w:bCs/>
                <w:sz w:val="22"/>
                <w:szCs w:val="22"/>
              </w:rPr>
            </w:pPr>
            <w:r w:rsidRPr="00735337">
              <w:rPr>
                <w:b/>
                <w:bCs/>
                <w:sz w:val="22"/>
                <w:szCs w:val="22"/>
              </w:rPr>
              <w:t xml:space="preserve">Considerations </w:t>
            </w:r>
          </w:p>
        </w:tc>
        <w:tc>
          <w:tcPr>
            <w:tcW w:w="3118" w:type="dxa"/>
          </w:tcPr>
          <w:p w14:paraId="632FEA87" w14:textId="77777777" w:rsidR="002338EB" w:rsidRPr="00735337" w:rsidRDefault="002338EB" w:rsidP="001C517D">
            <w:pPr>
              <w:pStyle w:val="Paragraph"/>
              <w:spacing w:before="120" w:after="120" w:line="240" w:lineRule="auto"/>
              <w:rPr>
                <w:b/>
                <w:bCs/>
                <w:sz w:val="22"/>
                <w:szCs w:val="22"/>
              </w:rPr>
            </w:pPr>
            <w:r w:rsidRPr="00735337">
              <w:rPr>
                <w:b/>
                <w:bCs/>
                <w:sz w:val="22"/>
                <w:szCs w:val="22"/>
              </w:rPr>
              <w:t>Assessment</w:t>
            </w:r>
          </w:p>
        </w:tc>
      </w:tr>
      <w:tr w:rsidR="00735337" w14:paraId="7CB24BE4" w14:textId="77777777" w:rsidTr="001C517D">
        <w:tc>
          <w:tcPr>
            <w:tcW w:w="5949" w:type="dxa"/>
          </w:tcPr>
          <w:p w14:paraId="3ABE91E5" w14:textId="6F528334" w:rsidR="00735337" w:rsidRPr="00735337" w:rsidRDefault="00614B09" w:rsidP="00735337">
            <w:pPr>
              <w:pStyle w:val="Paragraph"/>
              <w:spacing w:before="120" w:after="120" w:line="240" w:lineRule="auto"/>
              <w:rPr>
                <w:highlight w:val="lightGray"/>
              </w:rPr>
            </w:pPr>
            <w:r w:rsidRPr="00614B09">
              <w:rPr>
                <w:rFonts w:cs="Arial"/>
                <w:sz w:val="22"/>
                <w:szCs w:val="22"/>
              </w:rPr>
              <w:t>Data can be collected from GP systems using SNOMED coding.</w:t>
            </w:r>
          </w:p>
        </w:tc>
        <w:tc>
          <w:tcPr>
            <w:tcW w:w="3118" w:type="dxa"/>
          </w:tcPr>
          <w:p w14:paraId="7E07F302" w14:textId="5F984164" w:rsidR="00735337" w:rsidRPr="00614B09" w:rsidRDefault="00735337" w:rsidP="00735337">
            <w:pPr>
              <w:spacing w:before="120" w:after="120"/>
              <w:rPr>
                <w:rFonts w:ascii="Arial" w:hAnsi="Arial" w:cs="Arial"/>
                <w:color w:val="000000"/>
                <w:kern w:val="24"/>
                <w:sz w:val="22"/>
                <w:szCs w:val="22"/>
              </w:rPr>
            </w:pPr>
            <w:r w:rsidRPr="00614B09">
              <w:rPr>
                <w:rFonts w:ascii="Arial" w:hAnsi="Arial" w:cs="Arial"/>
                <w:color w:val="000000"/>
                <w:kern w:val="24"/>
                <w:sz w:val="22"/>
                <w:szCs w:val="22"/>
              </w:rPr>
              <w:t>The indicator is repeatable.</w:t>
            </w:r>
          </w:p>
          <w:p w14:paraId="3BEFE1B2" w14:textId="77777777" w:rsidR="00735337" w:rsidRPr="00735337" w:rsidRDefault="00735337" w:rsidP="00735337">
            <w:pPr>
              <w:pStyle w:val="Paragraph"/>
              <w:spacing w:before="120" w:after="120" w:line="240" w:lineRule="auto"/>
              <w:rPr>
                <w:highlight w:val="lightGray"/>
              </w:rPr>
            </w:pPr>
          </w:p>
        </w:tc>
      </w:tr>
      <w:tr w:rsidR="00735337" w14:paraId="2FE27CD6" w14:textId="77777777" w:rsidTr="001C517D">
        <w:tc>
          <w:tcPr>
            <w:tcW w:w="5949" w:type="dxa"/>
          </w:tcPr>
          <w:p w14:paraId="6B3D2BF0" w14:textId="19E949D1" w:rsidR="004F66FE" w:rsidRPr="004F66FE" w:rsidRDefault="00F17CD4" w:rsidP="00F17CD4">
            <w:pPr>
              <w:pStyle w:val="Bulletleft1last"/>
              <w:numPr>
                <w:ilvl w:val="0"/>
                <w:numId w:val="0"/>
              </w:numPr>
            </w:pPr>
            <w:r>
              <w:rPr>
                <w:sz w:val="22"/>
                <w:szCs w:val="22"/>
              </w:rPr>
              <w:t>Existing d</w:t>
            </w:r>
            <w:r w:rsidRPr="00194FD2">
              <w:rPr>
                <w:sz w:val="22"/>
                <w:szCs w:val="22"/>
              </w:rPr>
              <w:t xml:space="preserve">ata fields </w:t>
            </w:r>
            <w:r>
              <w:rPr>
                <w:sz w:val="22"/>
                <w:szCs w:val="22"/>
              </w:rPr>
              <w:t>and code clusters are used in diabetes and cholesterol indicators in the 2024/25 QOF.</w:t>
            </w:r>
          </w:p>
        </w:tc>
        <w:tc>
          <w:tcPr>
            <w:tcW w:w="3118" w:type="dxa"/>
          </w:tcPr>
          <w:p w14:paraId="501A7677" w14:textId="77777777" w:rsidR="00735337" w:rsidRPr="00614B09" w:rsidRDefault="00735337" w:rsidP="00735337">
            <w:pPr>
              <w:spacing w:before="120" w:after="120"/>
              <w:rPr>
                <w:rFonts w:ascii="Arial" w:hAnsi="Arial" w:cs="Arial"/>
                <w:color w:val="000000"/>
                <w:kern w:val="24"/>
                <w:sz w:val="22"/>
                <w:szCs w:val="22"/>
              </w:rPr>
            </w:pPr>
            <w:r w:rsidRPr="00614B09">
              <w:rPr>
                <w:rFonts w:ascii="Arial" w:hAnsi="Arial" w:cs="Arial"/>
                <w:color w:val="000000"/>
                <w:kern w:val="24"/>
                <w:sz w:val="22"/>
                <w:szCs w:val="22"/>
              </w:rPr>
              <w:t xml:space="preserve">The indicator is measuring what it is designed to measure. </w:t>
            </w:r>
          </w:p>
          <w:p w14:paraId="24CB8CBA" w14:textId="284E71C7" w:rsidR="00735337" w:rsidRPr="00735337" w:rsidRDefault="00735337" w:rsidP="00735337">
            <w:pPr>
              <w:spacing w:before="120" w:after="120"/>
              <w:rPr>
                <w:rFonts w:ascii="Arial" w:hAnsi="Arial" w:cs="Arial"/>
                <w:color w:val="000000"/>
                <w:kern w:val="24"/>
                <w:sz w:val="22"/>
                <w:szCs w:val="22"/>
                <w:highlight w:val="lightGray"/>
              </w:rPr>
            </w:pPr>
            <w:r w:rsidRPr="00614B09">
              <w:rPr>
                <w:rFonts w:ascii="Arial" w:hAnsi="Arial" w:cs="Arial"/>
                <w:color w:val="000000"/>
                <w:kern w:val="24"/>
                <w:sz w:val="22"/>
                <w:szCs w:val="22"/>
              </w:rPr>
              <w:t>The indicator uses existing data fields.</w:t>
            </w:r>
          </w:p>
        </w:tc>
      </w:tr>
    </w:tbl>
    <w:p w14:paraId="585AE468" w14:textId="31F94E90" w:rsidR="002338EB" w:rsidRDefault="002338EB" w:rsidP="002338EB">
      <w:pPr>
        <w:pStyle w:val="Paragraph"/>
      </w:pPr>
    </w:p>
    <w:p w14:paraId="4447A98D" w14:textId="06B983E4" w:rsidR="002338EB" w:rsidRDefault="002338EB" w:rsidP="00192685">
      <w:pPr>
        <w:pStyle w:val="Heading1"/>
      </w:pPr>
      <w:r>
        <w:t xml:space="preserve">Acceptability </w:t>
      </w:r>
    </w:p>
    <w:tbl>
      <w:tblPr>
        <w:tblStyle w:val="TableGrid"/>
        <w:tblW w:w="9067" w:type="dxa"/>
        <w:tblLook w:val="04A0" w:firstRow="1" w:lastRow="0" w:firstColumn="1" w:lastColumn="0" w:noHBand="0" w:noVBand="1"/>
      </w:tblPr>
      <w:tblGrid>
        <w:gridCol w:w="5949"/>
        <w:gridCol w:w="3118"/>
      </w:tblGrid>
      <w:tr w:rsidR="002338EB" w14:paraId="0604C8F6" w14:textId="77777777" w:rsidTr="001C517D">
        <w:tc>
          <w:tcPr>
            <w:tcW w:w="5949" w:type="dxa"/>
          </w:tcPr>
          <w:p w14:paraId="50FC03A9" w14:textId="77777777" w:rsidR="002338EB" w:rsidRPr="00A47852" w:rsidRDefault="002338EB" w:rsidP="001C517D">
            <w:pPr>
              <w:pStyle w:val="Paragraph"/>
              <w:spacing w:before="120" w:after="120" w:line="240" w:lineRule="auto"/>
              <w:rPr>
                <w:b/>
                <w:bCs/>
                <w:sz w:val="22"/>
                <w:szCs w:val="22"/>
              </w:rPr>
            </w:pPr>
            <w:r w:rsidRPr="00A47852">
              <w:rPr>
                <w:b/>
                <w:bCs/>
                <w:sz w:val="22"/>
                <w:szCs w:val="22"/>
              </w:rPr>
              <w:t xml:space="preserve">Considerations </w:t>
            </w:r>
          </w:p>
        </w:tc>
        <w:tc>
          <w:tcPr>
            <w:tcW w:w="3118" w:type="dxa"/>
          </w:tcPr>
          <w:p w14:paraId="6F255397" w14:textId="77777777" w:rsidR="002338EB" w:rsidRPr="00A47852" w:rsidRDefault="002338EB" w:rsidP="001C517D">
            <w:pPr>
              <w:pStyle w:val="Paragraph"/>
              <w:spacing w:before="120" w:after="120" w:line="240" w:lineRule="auto"/>
              <w:rPr>
                <w:b/>
                <w:bCs/>
                <w:sz w:val="22"/>
                <w:szCs w:val="22"/>
              </w:rPr>
            </w:pPr>
            <w:r w:rsidRPr="00A47852">
              <w:rPr>
                <w:b/>
                <w:bCs/>
                <w:sz w:val="22"/>
                <w:szCs w:val="22"/>
              </w:rPr>
              <w:t>Assessment</w:t>
            </w:r>
          </w:p>
        </w:tc>
      </w:tr>
      <w:tr w:rsidR="00735337" w14:paraId="5EC80837" w14:textId="77777777" w:rsidTr="001C517D">
        <w:tc>
          <w:tcPr>
            <w:tcW w:w="5949" w:type="dxa"/>
          </w:tcPr>
          <w:p w14:paraId="0941BACB" w14:textId="77777777" w:rsidR="00270AB1" w:rsidRPr="00270AB1" w:rsidRDefault="00270AB1" w:rsidP="00270AB1">
            <w:pPr>
              <w:spacing w:before="120" w:after="120"/>
              <w:rPr>
                <w:rFonts w:ascii="Arial" w:hAnsi="Arial" w:cs="Arial"/>
                <w:sz w:val="22"/>
                <w:szCs w:val="22"/>
              </w:rPr>
            </w:pPr>
            <w:r w:rsidRPr="00270AB1">
              <w:rPr>
                <w:rFonts w:ascii="Arial" w:hAnsi="Arial" w:cs="Arial"/>
                <w:sz w:val="22"/>
                <w:szCs w:val="22"/>
              </w:rPr>
              <w:t>Patients refusing lipid modifying therapy could affect the ability of clinicians to perform against the indicator.</w:t>
            </w:r>
          </w:p>
          <w:p w14:paraId="009E37A6" w14:textId="39A7B711" w:rsidR="00735337" w:rsidRPr="00A47852" w:rsidRDefault="00270AB1" w:rsidP="00270AB1">
            <w:pPr>
              <w:pStyle w:val="Paragraph"/>
              <w:spacing w:before="120" w:after="120" w:line="240" w:lineRule="auto"/>
              <w:rPr>
                <w:highlight w:val="lightGray"/>
              </w:rPr>
            </w:pPr>
            <w:r w:rsidRPr="00270AB1">
              <w:rPr>
                <w:rFonts w:cs="Arial"/>
                <w:sz w:val="22"/>
                <w:szCs w:val="22"/>
              </w:rPr>
              <w:t>Personalised care adjustments can be used if lipid modifying therapy is contra-indicated or declined.</w:t>
            </w:r>
          </w:p>
        </w:tc>
        <w:tc>
          <w:tcPr>
            <w:tcW w:w="3118" w:type="dxa"/>
          </w:tcPr>
          <w:p w14:paraId="50C98A36" w14:textId="770894BD" w:rsidR="00735337" w:rsidRPr="00A47852" w:rsidRDefault="00735337" w:rsidP="00735337">
            <w:pPr>
              <w:pStyle w:val="Paragraph"/>
              <w:spacing w:before="120" w:after="120" w:line="240" w:lineRule="auto"/>
              <w:rPr>
                <w:highlight w:val="lightGray"/>
              </w:rPr>
            </w:pPr>
            <w:r w:rsidRPr="00270AB1">
              <w:rPr>
                <w:rFonts w:cs="Arial"/>
                <w:color w:val="000000"/>
                <w:kern w:val="24"/>
                <w:sz w:val="22"/>
                <w:szCs w:val="22"/>
              </w:rPr>
              <w:t>The indicator assesses performance that is attributable to or within the control of the audience</w:t>
            </w:r>
            <w:r w:rsidR="00270AB1">
              <w:rPr>
                <w:rFonts w:cs="Arial"/>
                <w:color w:val="000000"/>
                <w:kern w:val="24"/>
                <w:sz w:val="22"/>
                <w:szCs w:val="22"/>
              </w:rPr>
              <w:t>.</w:t>
            </w:r>
          </w:p>
        </w:tc>
      </w:tr>
      <w:tr w:rsidR="00735337" w14:paraId="7E164FBD" w14:textId="77777777" w:rsidTr="001C517D">
        <w:tc>
          <w:tcPr>
            <w:tcW w:w="5949" w:type="dxa"/>
          </w:tcPr>
          <w:p w14:paraId="3AF0200A" w14:textId="6742A40A" w:rsidR="00735337" w:rsidRPr="00A47852" w:rsidRDefault="00270AB1" w:rsidP="00735337">
            <w:pPr>
              <w:pStyle w:val="Paragraph"/>
              <w:spacing w:before="120" w:after="120" w:line="240" w:lineRule="auto"/>
              <w:rPr>
                <w:highlight w:val="lightGray"/>
              </w:rPr>
            </w:pPr>
            <w:r w:rsidRPr="00270AB1">
              <w:rPr>
                <w:rFonts w:cs="Arial"/>
                <w:sz w:val="22"/>
                <w:szCs w:val="22"/>
              </w:rPr>
              <w:t>Data can be extracted and used to compare practice within the GP practice or with other GP practices.</w:t>
            </w:r>
          </w:p>
        </w:tc>
        <w:tc>
          <w:tcPr>
            <w:tcW w:w="3118" w:type="dxa"/>
          </w:tcPr>
          <w:p w14:paraId="2909F55A" w14:textId="0B7C0EFB" w:rsidR="00735337" w:rsidRPr="00A47852" w:rsidRDefault="00735337" w:rsidP="00735337">
            <w:pPr>
              <w:pStyle w:val="Paragraph"/>
              <w:spacing w:before="120" w:after="120" w:line="240" w:lineRule="auto"/>
              <w:rPr>
                <w:highlight w:val="lightGray"/>
              </w:rPr>
            </w:pPr>
            <w:r w:rsidRPr="00270AB1">
              <w:rPr>
                <w:rFonts w:cs="Arial"/>
                <w:color w:val="000000"/>
                <w:kern w:val="24"/>
                <w:sz w:val="22"/>
                <w:szCs w:val="22"/>
              </w:rPr>
              <w:t>The results of the indicator can be used to improve practice</w:t>
            </w:r>
            <w:r w:rsidR="00270AB1">
              <w:rPr>
                <w:rFonts w:cs="Arial"/>
                <w:color w:val="000000"/>
                <w:kern w:val="24"/>
                <w:sz w:val="22"/>
                <w:szCs w:val="22"/>
              </w:rPr>
              <w:t>.</w:t>
            </w:r>
          </w:p>
        </w:tc>
      </w:tr>
    </w:tbl>
    <w:p w14:paraId="359B1BDB" w14:textId="49E7FB46" w:rsidR="002338EB" w:rsidRDefault="002338EB" w:rsidP="002338EB">
      <w:pPr>
        <w:pStyle w:val="Paragraph"/>
      </w:pPr>
    </w:p>
    <w:p w14:paraId="639F934E" w14:textId="090BF21C" w:rsidR="00A47852" w:rsidRDefault="00A47852" w:rsidP="00192685">
      <w:pPr>
        <w:pStyle w:val="Heading1"/>
      </w:pPr>
      <w:r>
        <w:lastRenderedPageBreak/>
        <w:t>Risk</w:t>
      </w:r>
    </w:p>
    <w:tbl>
      <w:tblPr>
        <w:tblStyle w:val="TableGrid"/>
        <w:tblW w:w="9067" w:type="dxa"/>
        <w:tblLook w:val="04A0" w:firstRow="1" w:lastRow="0" w:firstColumn="1" w:lastColumn="0" w:noHBand="0" w:noVBand="1"/>
      </w:tblPr>
      <w:tblGrid>
        <w:gridCol w:w="5949"/>
        <w:gridCol w:w="3118"/>
      </w:tblGrid>
      <w:tr w:rsidR="00A47852" w14:paraId="4F9CECCC" w14:textId="77777777" w:rsidTr="001C517D">
        <w:tc>
          <w:tcPr>
            <w:tcW w:w="5949" w:type="dxa"/>
          </w:tcPr>
          <w:p w14:paraId="7D45A224" w14:textId="77777777" w:rsidR="00A47852" w:rsidRPr="00A47852" w:rsidRDefault="00A47852" w:rsidP="001C517D">
            <w:pPr>
              <w:pStyle w:val="Paragraph"/>
              <w:spacing w:before="120" w:after="120" w:line="240" w:lineRule="auto"/>
              <w:rPr>
                <w:b/>
                <w:bCs/>
                <w:sz w:val="22"/>
                <w:szCs w:val="22"/>
              </w:rPr>
            </w:pPr>
            <w:r w:rsidRPr="00A47852">
              <w:rPr>
                <w:b/>
                <w:bCs/>
                <w:sz w:val="22"/>
                <w:szCs w:val="22"/>
              </w:rPr>
              <w:t xml:space="preserve">Considerations </w:t>
            </w:r>
          </w:p>
        </w:tc>
        <w:tc>
          <w:tcPr>
            <w:tcW w:w="3118" w:type="dxa"/>
          </w:tcPr>
          <w:p w14:paraId="736A49C5" w14:textId="77777777" w:rsidR="00A47852" w:rsidRPr="00A47852" w:rsidRDefault="00A47852" w:rsidP="001C517D">
            <w:pPr>
              <w:pStyle w:val="Paragraph"/>
              <w:spacing w:before="120" w:after="120" w:line="240" w:lineRule="auto"/>
              <w:rPr>
                <w:b/>
                <w:bCs/>
                <w:sz w:val="22"/>
                <w:szCs w:val="22"/>
              </w:rPr>
            </w:pPr>
            <w:r w:rsidRPr="00A47852">
              <w:rPr>
                <w:b/>
                <w:bCs/>
                <w:sz w:val="22"/>
                <w:szCs w:val="22"/>
              </w:rPr>
              <w:t>Assessment</w:t>
            </w:r>
          </w:p>
        </w:tc>
      </w:tr>
      <w:tr w:rsidR="00A47852" w14:paraId="2365E62E" w14:textId="77777777" w:rsidTr="001C517D">
        <w:tc>
          <w:tcPr>
            <w:tcW w:w="5949" w:type="dxa"/>
          </w:tcPr>
          <w:p w14:paraId="5D0DDE27" w14:textId="3D2ED2A2" w:rsidR="00A47852" w:rsidRPr="00A47852" w:rsidRDefault="00CA424D" w:rsidP="00A47852">
            <w:pPr>
              <w:pStyle w:val="Paragraph"/>
              <w:spacing w:before="120" w:after="120" w:line="240" w:lineRule="auto"/>
              <w:rPr>
                <w:highlight w:val="lightGray"/>
              </w:rPr>
            </w:pPr>
            <w:r w:rsidRPr="00CA424D">
              <w:rPr>
                <w:rFonts w:cs="Arial"/>
                <w:color w:val="000000"/>
                <w:kern w:val="24"/>
                <w:sz w:val="22"/>
                <w:szCs w:val="22"/>
                <w:lang w:eastAsia="en-GB"/>
              </w:rPr>
              <w:t>There was concern during development that there is limited evidence on the benefits or risks of statins for older people with moderate or severe frailty. It was therefore agreed to exclude people with moderate or severe frailty from the denominator.</w:t>
            </w:r>
          </w:p>
        </w:tc>
        <w:tc>
          <w:tcPr>
            <w:tcW w:w="3118" w:type="dxa"/>
          </w:tcPr>
          <w:p w14:paraId="29FB2923" w14:textId="4EE07B97" w:rsidR="00A47852" w:rsidRPr="00A47852" w:rsidRDefault="00A47852" w:rsidP="00A47852">
            <w:pPr>
              <w:pStyle w:val="Paragraph"/>
              <w:spacing w:before="120" w:after="120" w:line="240" w:lineRule="auto"/>
              <w:rPr>
                <w:highlight w:val="lightGray"/>
              </w:rPr>
            </w:pPr>
            <w:r w:rsidRPr="00CA424D">
              <w:rPr>
                <w:rFonts w:cs="Arial"/>
                <w:color w:val="000000"/>
                <w:kern w:val="24"/>
                <w:sz w:val="22"/>
                <w:szCs w:val="22"/>
              </w:rPr>
              <w:t>The indicator has an acceptable risk of unintended consequences.</w:t>
            </w:r>
          </w:p>
        </w:tc>
      </w:tr>
    </w:tbl>
    <w:p w14:paraId="017EA4B6" w14:textId="72819A2E" w:rsidR="002338EB" w:rsidRDefault="002338EB" w:rsidP="002338EB">
      <w:pPr>
        <w:pStyle w:val="Paragraph"/>
      </w:pPr>
    </w:p>
    <w:p w14:paraId="7104BC2A" w14:textId="5DB37A63" w:rsidR="002338EB" w:rsidRDefault="002338EB" w:rsidP="002338EB">
      <w:pPr>
        <w:pStyle w:val="Paragraph"/>
      </w:pPr>
    </w:p>
    <w:sectPr w:rsidR="002338EB" w:rsidSect="003E4657">
      <w:headerReference w:type="default" r:id="rId14"/>
      <w:footerReference w:type="default" r:id="rId15"/>
      <w:headerReference w:type="first" r:id="rId16"/>
      <w:footerReference w:type="first" r:id="rId1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A3B6" w14:textId="77777777" w:rsidR="00BB14CA" w:rsidRDefault="00BB14CA" w:rsidP="00446BEE">
      <w:r>
        <w:separator/>
      </w:r>
    </w:p>
  </w:endnote>
  <w:endnote w:type="continuationSeparator" w:id="0">
    <w:p w14:paraId="22EB9B1D" w14:textId="77777777" w:rsidR="00BB14CA" w:rsidRDefault="00BB14C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B07A" w14:textId="2B29B370" w:rsidR="00BB14CA" w:rsidRPr="008C1C95" w:rsidRDefault="00F17CD4" w:rsidP="008C1C95">
    <w:pPr>
      <w:pStyle w:val="Footer"/>
      <w:jc w:val="right"/>
    </w:pPr>
    <w:r>
      <w:t>IND275</w:t>
    </w:r>
    <w:r w:rsidR="009B0E59">
      <w:t xml:space="preserve">: Validity assessment </w:t>
    </w:r>
    <w:r>
      <w:t>November 2024</w:t>
    </w:r>
    <w:r w:rsidR="009B0E59">
      <w:tab/>
    </w:r>
    <w:r w:rsidR="009B0E59">
      <w:tab/>
    </w:r>
    <w:r w:rsidR="00BB14CA">
      <w:fldChar w:fldCharType="begin"/>
    </w:r>
    <w:r w:rsidR="00BB14CA">
      <w:instrText xml:space="preserve"> PAGE </w:instrText>
    </w:r>
    <w:r w:rsidR="00BB14CA">
      <w:fldChar w:fldCharType="separate"/>
    </w:r>
    <w:r w:rsidR="00BB14CA">
      <w:rPr>
        <w:noProof/>
      </w:rPr>
      <w:t>21</w:t>
    </w:r>
    <w:r w:rsidR="00BB14CA">
      <w:fldChar w:fldCharType="end"/>
    </w:r>
    <w:r w:rsidR="00BB14CA">
      <w:t xml:space="preserve"> of </w:t>
    </w:r>
    <w:r w:rsidR="00BB14CA">
      <w:rPr>
        <w:noProof/>
      </w:rPr>
      <w:fldChar w:fldCharType="begin"/>
    </w:r>
    <w:r w:rsidR="00BB14CA">
      <w:rPr>
        <w:noProof/>
      </w:rPr>
      <w:instrText xml:space="preserve"> NUMPAGES  </w:instrText>
    </w:r>
    <w:r w:rsidR="00BB14CA">
      <w:rPr>
        <w:noProof/>
      </w:rPr>
      <w:fldChar w:fldCharType="separate"/>
    </w:r>
    <w:r w:rsidR="00BB14CA">
      <w:rPr>
        <w:noProof/>
      </w:rPr>
      <w:t>63</w:t>
    </w:r>
    <w:r w:rsidR="00BB14C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9A80C" w14:textId="68A5E262" w:rsidR="00F17CD4" w:rsidRPr="00F17CD4" w:rsidRDefault="00F17CD4" w:rsidP="00F17CD4">
    <w:pPr>
      <w:tabs>
        <w:tab w:val="center" w:pos="4513"/>
        <w:tab w:val="right" w:pos="9026"/>
      </w:tabs>
      <w:jc w:val="right"/>
      <w:rPr>
        <w:rFonts w:ascii="Arial" w:hAnsi="Arial"/>
        <w:sz w:val="20"/>
      </w:rPr>
    </w:pPr>
    <w:r w:rsidRPr="00F17CD4">
      <w:rPr>
        <w:rFonts w:ascii="Arial" w:hAnsi="Arial"/>
        <w:sz w:val="20"/>
      </w:rPr>
      <w:t>IND275: Validity assessment November 2024</w:t>
    </w:r>
    <w:r w:rsidRPr="00F17CD4">
      <w:rPr>
        <w:rFonts w:ascii="Arial" w:hAnsi="Arial"/>
        <w:sz w:val="20"/>
      </w:rPr>
      <w:tab/>
    </w:r>
    <w:r w:rsidRPr="00F17CD4">
      <w:rPr>
        <w:rFonts w:ascii="Arial" w:hAnsi="Arial"/>
        <w:sz w:val="20"/>
      </w:rPr>
      <w:tab/>
    </w:r>
    <w:r w:rsidRPr="00F17CD4">
      <w:rPr>
        <w:rFonts w:ascii="Arial" w:hAnsi="Arial"/>
        <w:sz w:val="20"/>
      </w:rPr>
      <w:fldChar w:fldCharType="begin"/>
    </w:r>
    <w:r w:rsidRPr="00F17CD4">
      <w:rPr>
        <w:rFonts w:ascii="Arial" w:hAnsi="Arial"/>
        <w:sz w:val="20"/>
      </w:rPr>
      <w:instrText xml:space="preserve"> PAGE </w:instrText>
    </w:r>
    <w:r w:rsidRPr="00F17CD4">
      <w:rPr>
        <w:rFonts w:ascii="Arial" w:hAnsi="Arial"/>
        <w:sz w:val="20"/>
      </w:rPr>
      <w:fldChar w:fldCharType="separate"/>
    </w:r>
    <w:r w:rsidRPr="00F17CD4">
      <w:rPr>
        <w:rFonts w:ascii="Arial" w:hAnsi="Arial"/>
        <w:sz w:val="20"/>
      </w:rPr>
      <w:t>4</w:t>
    </w:r>
    <w:r w:rsidRPr="00F17CD4">
      <w:rPr>
        <w:rFonts w:ascii="Arial" w:hAnsi="Arial"/>
        <w:sz w:val="20"/>
      </w:rPr>
      <w:fldChar w:fldCharType="end"/>
    </w:r>
    <w:r w:rsidRPr="00F17CD4">
      <w:rPr>
        <w:rFonts w:ascii="Arial" w:hAnsi="Arial"/>
        <w:sz w:val="20"/>
      </w:rPr>
      <w:t xml:space="preserve"> of </w:t>
    </w:r>
    <w:r w:rsidRPr="00F17CD4">
      <w:rPr>
        <w:rFonts w:ascii="Arial" w:hAnsi="Arial"/>
        <w:noProof/>
        <w:sz w:val="20"/>
      </w:rPr>
      <w:fldChar w:fldCharType="begin"/>
    </w:r>
    <w:r w:rsidRPr="00F17CD4">
      <w:rPr>
        <w:rFonts w:ascii="Arial" w:hAnsi="Arial"/>
        <w:noProof/>
        <w:sz w:val="20"/>
      </w:rPr>
      <w:instrText xml:space="preserve"> NUMPAGES  </w:instrText>
    </w:r>
    <w:r w:rsidRPr="00F17CD4">
      <w:rPr>
        <w:rFonts w:ascii="Arial" w:hAnsi="Arial"/>
        <w:noProof/>
        <w:sz w:val="20"/>
      </w:rPr>
      <w:fldChar w:fldCharType="separate"/>
    </w:r>
    <w:r w:rsidRPr="00F17CD4">
      <w:rPr>
        <w:rFonts w:ascii="Arial" w:hAnsi="Arial"/>
        <w:noProof/>
        <w:sz w:val="20"/>
      </w:rPr>
      <w:t>4</w:t>
    </w:r>
    <w:r w:rsidRPr="00F17CD4">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57E4" w14:textId="77777777" w:rsidR="00BB14CA" w:rsidRDefault="00BB14CA" w:rsidP="00446BEE">
      <w:r>
        <w:separator/>
      </w:r>
    </w:p>
  </w:footnote>
  <w:footnote w:type="continuationSeparator" w:id="0">
    <w:p w14:paraId="1B316AC4" w14:textId="77777777" w:rsidR="00BB14CA" w:rsidRDefault="00BB14C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F3D4" w14:textId="0B792A5C" w:rsidR="00BB14CA" w:rsidRDefault="00BB14CA" w:rsidP="003E4657">
    <w:pPr>
      <w:pStyle w:val="Header"/>
      <w:tabs>
        <w:tab w:val="left" w:pos="2768"/>
        <w:tab w:val="center" w:pos="4156"/>
      </w:tabs>
      <w:rPr>
        <w:b/>
        <w:color w:val="FF0000"/>
        <w:sz w:val="22"/>
        <w:szCs w:val="22"/>
      </w:rPr>
    </w:pPr>
  </w:p>
  <w:p w14:paraId="686E1FB0" w14:textId="77777777" w:rsidR="00BB14CA" w:rsidRPr="00482C01" w:rsidRDefault="00BB14CA" w:rsidP="00670FFB">
    <w:pPr>
      <w:pStyle w:val="Header"/>
      <w:tabs>
        <w:tab w:val="left" w:pos="2768"/>
        <w:tab w:val="center" w:pos="4156"/>
      </w:tabs>
      <w:rPr>
        <w:b/>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D4DC" w14:textId="45388732" w:rsidR="003E4657" w:rsidRDefault="003E4657">
    <w:pPr>
      <w:pStyle w:val="Header"/>
    </w:pPr>
    <w:r w:rsidRPr="003E4657">
      <w:rPr>
        <w:rFonts w:ascii="Times New Roman" w:hAnsi="Times New Roman"/>
        <w:noProof/>
        <w:lang w:eastAsia="en-GB"/>
      </w:rPr>
      <w:drawing>
        <wp:inline distT="0" distB="0" distL="0" distR="0" wp14:anchorId="24A76EB2" wp14:editId="36581ACC">
          <wp:extent cx="2444400" cy="252000"/>
          <wp:effectExtent l="0" t="0" r="0" b="0"/>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FAAAE88"/>
    <w:lvl w:ilvl="0">
      <w:start w:val="1"/>
      <w:numFmt w:val="decimal"/>
      <w:pStyle w:val="ListNumber"/>
      <w:lvlText w:val="%1."/>
      <w:lvlJc w:val="left"/>
      <w:pPr>
        <w:tabs>
          <w:tab w:val="num" w:pos="360"/>
        </w:tabs>
        <w:ind w:left="360" w:hanging="360"/>
      </w:pPr>
    </w:lvl>
  </w:abstractNum>
  <w:abstractNum w:abstractNumId="1" w15:restartNumberingAfterBreak="0">
    <w:nsid w:val="038A00E5"/>
    <w:multiLevelType w:val="hybridMultilevel"/>
    <w:tmpl w:val="3C2A7E02"/>
    <w:lvl w:ilvl="0" w:tplc="F4D676B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32D2A"/>
    <w:multiLevelType w:val="multilevel"/>
    <w:tmpl w:val="AB7C2810"/>
    <w:styleLink w:val="Tablebulletleft"/>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017405"/>
    <w:multiLevelType w:val="multilevel"/>
    <w:tmpl w:val="599C3FC2"/>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9148B"/>
    <w:multiLevelType w:val="hybridMultilevel"/>
    <w:tmpl w:val="80EE8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75056A0"/>
    <w:multiLevelType w:val="hybridMultilevel"/>
    <w:tmpl w:val="0B5C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C3584"/>
    <w:multiLevelType w:val="multilevel"/>
    <w:tmpl w:val="721069A2"/>
    <w:lvl w:ilvl="0">
      <w:start w:val="1"/>
      <w:numFmt w:val="decimal"/>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9FF49C7"/>
    <w:multiLevelType w:val="hybridMultilevel"/>
    <w:tmpl w:val="59686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FB63AD"/>
    <w:multiLevelType w:val="hybridMultilevel"/>
    <w:tmpl w:val="512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3755D8"/>
    <w:multiLevelType w:val="multilevel"/>
    <w:tmpl w:val="8A3A3D5A"/>
    <w:styleLink w:val="Tablebullet"/>
    <w:lvl w:ilvl="0">
      <w:start w:val="1"/>
      <w:numFmt w:val="bullet"/>
      <w:lvlText w:val=""/>
      <w:lvlJc w:val="left"/>
      <w:pPr>
        <w:ind w:left="720" w:hanging="360"/>
      </w:pPr>
      <w:rPr>
        <w:rFonts w:ascii="Symbol" w:hAnsi="Symbol"/>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A819B5"/>
    <w:multiLevelType w:val="hybridMultilevel"/>
    <w:tmpl w:val="CFC8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7C435A"/>
    <w:multiLevelType w:val="multilevel"/>
    <w:tmpl w:val="F3D86946"/>
    <w:styleLink w:val="Tablebulletindented"/>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6E21DA"/>
    <w:multiLevelType w:val="hybridMultilevel"/>
    <w:tmpl w:val="CE78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D7CBE"/>
    <w:multiLevelType w:val="hybridMultilevel"/>
    <w:tmpl w:val="AC78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16792"/>
    <w:multiLevelType w:val="hybridMultilevel"/>
    <w:tmpl w:val="866E96FE"/>
    <w:lvl w:ilvl="0" w:tplc="F4D676B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4"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238192">
    <w:abstractNumId w:val="34"/>
  </w:num>
  <w:num w:numId="2" w16cid:durableId="233853175">
    <w:abstractNumId w:val="12"/>
  </w:num>
  <w:num w:numId="3" w16cid:durableId="1529370562">
    <w:abstractNumId w:val="28"/>
  </w:num>
  <w:num w:numId="4" w16cid:durableId="657612754">
    <w:abstractNumId w:val="13"/>
  </w:num>
  <w:num w:numId="5" w16cid:durableId="1193808871">
    <w:abstractNumId w:val="25"/>
  </w:num>
  <w:num w:numId="6" w16cid:durableId="781268177">
    <w:abstractNumId w:val="2"/>
  </w:num>
  <w:num w:numId="7" w16cid:durableId="201872007">
    <w:abstractNumId w:val="11"/>
  </w:num>
  <w:num w:numId="8" w16cid:durableId="1295333019">
    <w:abstractNumId w:val="23"/>
  </w:num>
  <w:num w:numId="9" w16cid:durableId="513112173">
    <w:abstractNumId w:val="24"/>
  </w:num>
  <w:num w:numId="10" w16cid:durableId="2049523386">
    <w:abstractNumId w:val="6"/>
  </w:num>
  <w:num w:numId="11" w16cid:durableId="1370840847">
    <w:abstractNumId w:val="8"/>
  </w:num>
  <w:num w:numId="12" w16cid:durableId="1021859395">
    <w:abstractNumId w:val="3"/>
  </w:num>
  <w:num w:numId="13" w16cid:durableId="1167093030">
    <w:abstractNumId w:val="33"/>
  </w:num>
  <w:num w:numId="14" w16cid:durableId="1771392860">
    <w:abstractNumId w:val="15"/>
  </w:num>
  <w:num w:numId="15" w16cid:durableId="1260019971">
    <w:abstractNumId w:val="10"/>
  </w:num>
  <w:num w:numId="16" w16cid:durableId="546987736">
    <w:abstractNumId w:val="20"/>
  </w:num>
  <w:num w:numId="17" w16cid:durableId="2137412053">
    <w:abstractNumId w:val="17"/>
  </w:num>
  <w:num w:numId="18" w16cid:durableId="2039037637">
    <w:abstractNumId w:val="22"/>
  </w:num>
  <w:num w:numId="19" w16cid:durableId="1939945119">
    <w:abstractNumId w:val="26"/>
  </w:num>
  <w:num w:numId="20" w16cid:durableId="1057584041">
    <w:abstractNumId w:val="7"/>
  </w:num>
  <w:num w:numId="21" w16cid:durableId="1439716324">
    <w:abstractNumId w:val="29"/>
  </w:num>
  <w:num w:numId="22" w16cid:durableId="321355733">
    <w:abstractNumId w:val="0"/>
  </w:num>
  <w:num w:numId="23" w16cid:durableId="317730129">
    <w:abstractNumId w:val="5"/>
  </w:num>
  <w:num w:numId="24" w16cid:durableId="480850916">
    <w:abstractNumId w:val="27"/>
  </w:num>
  <w:num w:numId="25" w16cid:durableId="130027160">
    <w:abstractNumId w:val="19"/>
  </w:num>
  <w:num w:numId="26" w16cid:durableId="58794158">
    <w:abstractNumId w:val="18"/>
  </w:num>
  <w:num w:numId="27" w16cid:durableId="21445449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5674182">
    <w:abstractNumId w:val="9"/>
  </w:num>
  <w:num w:numId="29" w16cid:durableId="1249540939">
    <w:abstractNumId w:val="6"/>
  </w:num>
  <w:num w:numId="30" w16cid:durableId="1681851572">
    <w:abstractNumId w:val="14"/>
  </w:num>
  <w:num w:numId="31" w16cid:durableId="1344086205">
    <w:abstractNumId w:val="6"/>
  </w:num>
  <w:num w:numId="32" w16cid:durableId="1152327747">
    <w:abstractNumId w:val="6"/>
  </w:num>
  <w:num w:numId="33" w16cid:durableId="1533374662">
    <w:abstractNumId w:val="6"/>
  </w:num>
  <w:num w:numId="34" w16cid:durableId="82778544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5142198">
    <w:abstractNumId w:val="6"/>
  </w:num>
  <w:num w:numId="36" w16cid:durableId="1121265795">
    <w:abstractNumId w:val="6"/>
  </w:num>
  <w:num w:numId="37" w16cid:durableId="1261986610">
    <w:abstractNumId w:val="6"/>
  </w:num>
  <w:num w:numId="38" w16cid:durableId="413625216">
    <w:abstractNumId w:val="31"/>
  </w:num>
  <w:num w:numId="39" w16cid:durableId="1357119577">
    <w:abstractNumId w:val="21"/>
  </w:num>
  <w:num w:numId="40" w16cid:durableId="1472091102">
    <w:abstractNumId w:val="4"/>
  </w:num>
  <w:num w:numId="41" w16cid:durableId="1657494402">
    <w:abstractNumId w:val="30"/>
  </w:num>
  <w:num w:numId="42" w16cid:durableId="313071783">
    <w:abstractNumId w:val="1"/>
  </w:num>
  <w:num w:numId="43" w16cid:durableId="330717305">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BE"/>
    <w:rsid w:val="00001DF1"/>
    <w:rsid w:val="00002AC5"/>
    <w:rsid w:val="00011FC6"/>
    <w:rsid w:val="0001222B"/>
    <w:rsid w:val="00015441"/>
    <w:rsid w:val="00016234"/>
    <w:rsid w:val="00017F45"/>
    <w:rsid w:val="000200AB"/>
    <w:rsid w:val="00020637"/>
    <w:rsid w:val="0002076F"/>
    <w:rsid w:val="0002231A"/>
    <w:rsid w:val="00023CA5"/>
    <w:rsid w:val="00024D0A"/>
    <w:rsid w:val="00025A5C"/>
    <w:rsid w:val="0002655B"/>
    <w:rsid w:val="00027B76"/>
    <w:rsid w:val="000300AE"/>
    <w:rsid w:val="00030385"/>
    <w:rsid w:val="0003213D"/>
    <w:rsid w:val="00035D96"/>
    <w:rsid w:val="00036EE4"/>
    <w:rsid w:val="00037552"/>
    <w:rsid w:val="000414CD"/>
    <w:rsid w:val="000453F8"/>
    <w:rsid w:val="00050710"/>
    <w:rsid w:val="000523A6"/>
    <w:rsid w:val="000524FA"/>
    <w:rsid w:val="00052A67"/>
    <w:rsid w:val="00052B85"/>
    <w:rsid w:val="00053145"/>
    <w:rsid w:val="00057A05"/>
    <w:rsid w:val="00060DA1"/>
    <w:rsid w:val="0006231E"/>
    <w:rsid w:val="00062405"/>
    <w:rsid w:val="00063213"/>
    <w:rsid w:val="00063B7C"/>
    <w:rsid w:val="00065B8F"/>
    <w:rsid w:val="000660D6"/>
    <w:rsid w:val="000661F4"/>
    <w:rsid w:val="000675B4"/>
    <w:rsid w:val="00070065"/>
    <w:rsid w:val="0007042D"/>
    <w:rsid w:val="000710A1"/>
    <w:rsid w:val="000769BB"/>
    <w:rsid w:val="00077062"/>
    <w:rsid w:val="00077DF9"/>
    <w:rsid w:val="00077EEC"/>
    <w:rsid w:val="0008047F"/>
    <w:rsid w:val="00081BFA"/>
    <w:rsid w:val="00081C69"/>
    <w:rsid w:val="000853CB"/>
    <w:rsid w:val="000910A7"/>
    <w:rsid w:val="00094BC2"/>
    <w:rsid w:val="00094C1B"/>
    <w:rsid w:val="000963D1"/>
    <w:rsid w:val="000A16C2"/>
    <w:rsid w:val="000A638C"/>
    <w:rsid w:val="000A7163"/>
    <w:rsid w:val="000B1301"/>
    <w:rsid w:val="000B1CBF"/>
    <w:rsid w:val="000B33BD"/>
    <w:rsid w:val="000B34B8"/>
    <w:rsid w:val="000B5939"/>
    <w:rsid w:val="000B5EBE"/>
    <w:rsid w:val="000C22B9"/>
    <w:rsid w:val="000C4A97"/>
    <w:rsid w:val="000C4D57"/>
    <w:rsid w:val="000C4EE8"/>
    <w:rsid w:val="000C7A5D"/>
    <w:rsid w:val="000D04B0"/>
    <w:rsid w:val="000D1487"/>
    <w:rsid w:val="000D3776"/>
    <w:rsid w:val="000E0E0D"/>
    <w:rsid w:val="000E4899"/>
    <w:rsid w:val="000E7E3C"/>
    <w:rsid w:val="000F3B49"/>
    <w:rsid w:val="000F6502"/>
    <w:rsid w:val="001043B0"/>
    <w:rsid w:val="00110A94"/>
    <w:rsid w:val="00110AD8"/>
    <w:rsid w:val="00112FAE"/>
    <w:rsid w:val="001131E2"/>
    <w:rsid w:val="001134E7"/>
    <w:rsid w:val="00121C0F"/>
    <w:rsid w:val="00124CBD"/>
    <w:rsid w:val="001252AE"/>
    <w:rsid w:val="00125557"/>
    <w:rsid w:val="001306F4"/>
    <w:rsid w:val="00130EC7"/>
    <w:rsid w:val="00134FDA"/>
    <w:rsid w:val="00135081"/>
    <w:rsid w:val="001352C4"/>
    <w:rsid w:val="00135596"/>
    <w:rsid w:val="00136466"/>
    <w:rsid w:val="001368F7"/>
    <w:rsid w:val="00140B46"/>
    <w:rsid w:val="001413FC"/>
    <w:rsid w:val="00145D3C"/>
    <w:rsid w:val="001503E8"/>
    <w:rsid w:val="00154516"/>
    <w:rsid w:val="00155A83"/>
    <w:rsid w:val="00156264"/>
    <w:rsid w:val="00156529"/>
    <w:rsid w:val="001579DA"/>
    <w:rsid w:val="00161EBC"/>
    <w:rsid w:val="00165770"/>
    <w:rsid w:val="00165B01"/>
    <w:rsid w:val="00166C1A"/>
    <w:rsid w:val="0017169E"/>
    <w:rsid w:val="00171DDB"/>
    <w:rsid w:val="0017396B"/>
    <w:rsid w:val="00175BE8"/>
    <w:rsid w:val="00175F5D"/>
    <w:rsid w:val="00177200"/>
    <w:rsid w:val="001779E5"/>
    <w:rsid w:val="00182263"/>
    <w:rsid w:val="0018281C"/>
    <w:rsid w:val="00185F6B"/>
    <w:rsid w:val="00187570"/>
    <w:rsid w:val="00192188"/>
    <w:rsid w:val="00192685"/>
    <w:rsid w:val="001927C0"/>
    <w:rsid w:val="00192B09"/>
    <w:rsid w:val="001936A7"/>
    <w:rsid w:val="00193D4B"/>
    <w:rsid w:val="00194E6C"/>
    <w:rsid w:val="00196653"/>
    <w:rsid w:val="00196E29"/>
    <w:rsid w:val="001976DA"/>
    <w:rsid w:val="001A056C"/>
    <w:rsid w:val="001A23E4"/>
    <w:rsid w:val="001A281B"/>
    <w:rsid w:val="001A3011"/>
    <w:rsid w:val="001A3CA6"/>
    <w:rsid w:val="001A48E7"/>
    <w:rsid w:val="001A73CD"/>
    <w:rsid w:val="001B06E1"/>
    <w:rsid w:val="001B1619"/>
    <w:rsid w:val="001B187B"/>
    <w:rsid w:val="001B3C11"/>
    <w:rsid w:val="001B3DA1"/>
    <w:rsid w:val="001B3FEC"/>
    <w:rsid w:val="001B42B0"/>
    <w:rsid w:val="001B5300"/>
    <w:rsid w:val="001B65B3"/>
    <w:rsid w:val="001B6878"/>
    <w:rsid w:val="001B6DC2"/>
    <w:rsid w:val="001C0AB8"/>
    <w:rsid w:val="001C187F"/>
    <w:rsid w:val="001C27F3"/>
    <w:rsid w:val="001C3567"/>
    <w:rsid w:val="001C360A"/>
    <w:rsid w:val="001C74F4"/>
    <w:rsid w:val="001D0D90"/>
    <w:rsid w:val="001D24D0"/>
    <w:rsid w:val="001D298F"/>
    <w:rsid w:val="001D3D36"/>
    <w:rsid w:val="001D6DFD"/>
    <w:rsid w:val="001D6E16"/>
    <w:rsid w:val="001E08E9"/>
    <w:rsid w:val="001E0B63"/>
    <w:rsid w:val="001E0E8C"/>
    <w:rsid w:val="001E586B"/>
    <w:rsid w:val="001E678B"/>
    <w:rsid w:val="001E6F20"/>
    <w:rsid w:val="001F1315"/>
    <w:rsid w:val="001F1957"/>
    <w:rsid w:val="001F1D2D"/>
    <w:rsid w:val="001F288E"/>
    <w:rsid w:val="001F3C47"/>
    <w:rsid w:val="001F6AB0"/>
    <w:rsid w:val="00201090"/>
    <w:rsid w:val="0020340C"/>
    <w:rsid w:val="00203B08"/>
    <w:rsid w:val="00204572"/>
    <w:rsid w:val="00205A28"/>
    <w:rsid w:val="00205FBE"/>
    <w:rsid w:val="00207174"/>
    <w:rsid w:val="00210375"/>
    <w:rsid w:val="002128D3"/>
    <w:rsid w:val="002132AF"/>
    <w:rsid w:val="00214828"/>
    <w:rsid w:val="00214A72"/>
    <w:rsid w:val="00215444"/>
    <w:rsid w:val="00215C91"/>
    <w:rsid w:val="00220661"/>
    <w:rsid w:val="002213B0"/>
    <w:rsid w:val="0022189B"/>
    <w:rsid w:val="002229AD"/>
    <w:rsid w:val="00224AEE"/>
    <w:rsid w:val="00225FF4"/>
    <w:rsid w:val="00230A13"/>
    <w:rsid w:val="002331C6"/>
    <w:rsid w:val="002338EB"/>
    <w:rsid w:val="00236060"/>
    <w:rsid w:val="00236B76"/>
    <w:rsid w:val="002408EA"/>
    <w:rsid w:val="00241410"/>
    <w:rsid w:val="002549B2"/>
    <w:rsid w:val="002563DF"/>
    <w:rsid w:val="0026014A"/>
    <w:rsid w:val="0026108E"/>
    <w:rsid w:val="002614ED"/>
    <w:rsid w:val="00265142"/>
    <w:rsid w:val="00266AA6"/>
    <w:rsid w:val="00266B50"/>
    <w:rsid w:val="00270605"/>
    <w:rsid w:val="00270AB1"/>
    <w:rsid w:val="00271804"/>
    <w:rsid w:val="00271857"/>
    <w:rsid w:val="00276AC9"/>
    <w:rsid w:val="00277ED2"/>
    <w:rsid w:val="00280F8A"/>
    <w:rsid w:val="00283E93"/>
    <w:rsid w:val="00286537"/>
    <w:rsid w:val="00286C3A"/>
    <w:rsid w:val="00287467"/>
    <w:rsid w:val="00291A5B"/>
    <w:rsid w:val="00292B2C"/>
    <w:rsid w:val="0029330E"/>
    <w:rsid w:val="00296E2E"/>
    <w:rsid w:val="002A5503"/>
    <w:rsid w:val="002A6812"/>
    <w:rsid w:val="002A7339"/>
    <w:rsid w:val="002A7A24"/>
    <w:rsid w:val="002B4762"/>
    <w:rsid w:val="002B565A"/>
    <w:rsid w:val="002B71D2"/>
    <w:rsid w:val="002C1326"/>
    <w:rsid w:val="002C1A7E"/>
    <w:rsid w:val="002C2893"/>
    <w:rsid w:val="002C292E"/>
    <w:rsid w:val="002C3718"/>
    <w:rsid w:val="002C4126"/>
    <w:rsid w:val="002C5955"/>
    <w:rsid w:val="002C5BFD"/>
    <w:rsid w:val="002C67A8"/>
    <w:rsid w:val="002C7316"/>
    <w:rsid w:val="002C73DF"/>
    <w:rsid w:val="002D028E"/>
    <w:rsid w:val="002D12BB"/>
    <w:rsid w:val="002D20E7"/>
    <w:rsid w:val="002D2C7E"/>
    <w:rsid w:val="002D2CC4"/>
    <w:rsid w:val="002D2D5C"/>
    <w:rsid w:val="002D2FD2"/>
    <w:rsid w:val="002D58EA"/>
    <w:rsid w:val="002D7242"/>
    <w:rsid w:val="002E13A4"/>
    <w:rsid w:val="002F13B0"/>
    <w:rsid w:val="002F2EEF"/>
    <w:rsid w:val="002F3E31"/>
    <w:rsid w:val="002F58D0"/>
    <w:rsid w:val="002F67D9"/>
    <w:rsid w:val="002F69F1"/>
    <w:rsid w:val="002F70E7"/>
    <w:rsid w:val="003015B5"/>
    <w:rsid w:val="0030244C"/>
    <w:rsid w:val="003030A7"/>
    <w:rsid w:val="00304581"/>
    <w:rsid w:val="003052E9"/>
    <w:rsid w:val="00310E3D"/>
    <w:rsid w:val="00311ED0"/>
    <w:rsid w:val="00311FE4"/>
    <w:rsid w:val="003132FA"/>
    <w:rsid w:val="00314933"/>
    <w:rsid w:val="0031497D"/>
    <w:rsid w:val="003155D8"/>
    <w:rsid w:val="00316D48"/>
    <w:rsid w:val="00320EE5"/>
    <w:rsid w:val="003236DA"/>
    <w:rsid w:val="003244E5"/>
    <w:rsid w:val="00324C60"/>
    <w:rsid w:val="00326131"/>
    <w:rsid w:val="00326482"/>
    <w:rsid w:val="00326B61"/>
    <w:rsid w:val="00330EED"/>
    <w:rsid w:val="00331B26"/>
    <w:rsid w:val="003351B7"/>
    <w:rsid w:val="0033631A"/>
    <w:rsid w:val="00336946"/>
    <w:rsid w:val="00340D15"/>
    <w:rsid w:val="00341BA8"/>
    <w:rsid w:val="00343A77"/>
    <w:rsid w:val="00344166"/>
    <w:rsid w:val="00346B57"/>
    <w:rsid w:val="00347EDE"/>
    <w:rsid w:val="00351FA4"/>
    <w:rsid w:val="00351FDE"/>
    <w:rsid w:val="003524BA"/>
    <w:rsid w:val="00352FD0"/>
    <w:rsid w:val="00354D09"/>
    <w:rsid w:val="0035599B"/>
    <w:rsid w:val="00355BED"/>
    <w:rsid w:val="0035645A"/>
    <w:rsid w:val="00357C1E"/>
    <w:rsid w:val="003604C3"/>
    <w:rsid w:val="003605D5"/>
    <w:rsid w:val="00361432"/>
    <w:rsid w:val="00362EE3"/>
    <w:rsid w:val="00363276"/>
    <w:rsid w:val="00365698"/>
    <w:rsid w:val="00367685"/>
    <w:rsid w:val="00367A82"/>
    <w:rsid w:val="00370ACD"/>
    <w:rsid w:val="00371E29"/>
    <w:rsid w:val="003722FA"/>
    <w:rsid w:val="003731E6"/>
    <w:rsid w:val="00373EA4"/>
    <w:rsid w:val="003743BE"/>
    <w:rsid w:val="00374EA0"/>
    <w:rsid w:val="00374EB6"/>
    <w:rsid w:val="00375AE7"/>
    <w:rsid w:val="00376C2A"/>
    <w:rsid w:val="00377277"/>
    <w:rsid w:val="00377304"/>
    <w:rsid w:val="00381BEA"/>
    <w:rsid w:val="00381FB7"/>
    <w:rsid w:val="00382495"/>
    <w:rsid w:val="00384141"/>
    <w:rsid w:val="003856AA"/>
    <w:rsid w:val="00386007"/>
    <w:rsid w:val="003861AC"/>
    <w:rsid w:val="003862A5"/>
    <w:rsid w:val="00390249"/>
    <w:rsid w:val="00391F56"/>
    <w:rsid w:val="003953C7"/>
    <w:rsid w:val="003A03DC"/>
    <w:rsid w:val="003A0623"/>
    <w:rsid w:val="003A1975"/>
    <w:rsid w:val="003A1DE1"/>
    <w:rsid w:val="003A39A0"/>
    <w:rsid w:val="003A3E2A"/>
    <w:rsid w:val="003B0286"/>
    <w:rsid w:val="003B0466"/>
    <w:rsid w:val="003B091A"/>
    <w:rsid w:val="003B1C33"/>
    <w:rsid w:val="003B254D"/>
    <w:rsid w:val="003B298F"/>
    <w:rsid w:val="003B4C79"/>
    <w:rsid w:val="003B69AA"/>
    <w:rsid w:val="003C3023"/>
    <w:rsid w:val="003C39D1"/>
    <w:rsid w:val="003C7AAF"/>
    <w:rsid w:val="003C7B7D"/>
    <w:rsid w:val="003D2D5E"/>
    <w:rsid w:val="003D2EFF"/>
    <w:rsid w:val="003D497C"/>
    <w:rsid w:val="003D52EA"/>
    <w:rsid w:val="003D566D"/>
    <w:rsid w:val="003D58F7"/>
    <w:rsid w:val="003D5BF8"/>
    <w:rsid w:val="003D5D5A"/>
    <w:rsid w:val="003D6018"/>
    <w:rsid w:val="003E0602"/>
    <w:rsid w:val="003E0BD4"/>
    <w:rsid w:val="003E12B1"/>
    <w:rsid w:val="003E1787"/>
    <w:rsid w:val="003E22FC"/>
    <w:rsid w:val="003E4657"/>
    <w:rsid w:val="003F0EB9"/>
    <w:rsid w:val="003F2EC0"/>
    <w:rsid w:val="003F40D1"/>
    <w:rsid w:val="003F42F7"/>
    <w:rsid w:val="003F4970"/>
    <w:rsid w:val="003F540E"/>
    <w:rsid w:val="003F694A"/>
    <w:rsid w:val="003F7CE6"/>
    <w:rsid w:val="003F7D78"/>
    <w:rsid w:val="00405B03"/>
    <w:rsid w:val="00405FDF"/>
    <w:rsid w:val="004068EA"/>
    <w:rsid w:val="004075B6"/>
    <w:rsid w:val="00407F14"/>
    <w:rsid w:val="00410E4D"/>
    <w:rsid w:val="00411C38"/>
    <w:rsid w:val="0041238E"/>
    <w:rsid w:val="004150FB"/>
    <w:rsid w:val="00420952"/>
    <w:rsid w:val="00422E2D"/>
    <w:rsid w:val="00423C0E"/>
    <w:rsid w:val="00423DB4"/>
    <w:rsid w:val="0042425C"/>
    <w:rsid w:val="004247FB"/>
    <w:rsid w:val="004271A0"/>
    <w:rsid w:val="0042742A"/>
    <w:rsid w:val="004306C0"/>
    <w:rsid w:val="00431F8B"/>
    <w:rsid w:val="00440CCA"/>
    <w:rsid w:val="00442D76"/>
    <w:rsid w:val="004440AF"/>
    <w:rsid w:val="00446BEE"/>
    <w:rsid w:val="00450E6D"/>
    <w:rsid w:val="004518F7"/>
    <w:rsid w:val="0045334C"/>
    <w:rsid w:val="004539A8"/>
    <w:rsid w:val="004539D9"/>
    <w:rsid w:val="00455B14"/>
    <w:rsid w:val="00456B1D"/>
    <w:rsid w:val="00461C01"/>
    <w:rsid w:val="00462AFA"/>
    <w:rsid w:val="0046325E"/>
    <w:rsid w:val="0046445C"/>
    <w:rsid w:val="00466ACA"/>
    <w:rsid w:val="0046709A"/>
    <w:rsid w:val="00472CEC"/>
    <w:rsid w:val="00474FE4"/>
    <w:rsid w:val="00475C7C"/>
    <w:rsid w:val="00475D8E"/>
    <w:rsid w:val="00476940"/>
    <w:rsid w:val="0047731B"/>
    <w:rsid w:val="004824B6"/>
    <w:rsid w:val="00482C01"/>
    <w:rsid w:val="00483498"/>
    <w:rsid w:val="0048353B"/>
    <w:rsid w:val="00486953"/>
    <w:rsid w:val="004907E0"/>
    <w:rsid w:val="0049285D"/>
    <w:rsid w:val="00492AC8"/>
    <w:rsid w:val="00492CB6"/>
    <w:rsid w:val="00496B1E"/>
    <w:rsid w:val="00497AD3"/>
    <w:rsid w:val="004A13E2"/>
    <w:rsid w:val="004A1FB6"/>
    <w:rsid w:val="004A237B"/>
    <w:rsid w:val="004A4527"/>
    <w:rsid w:val="004A517E"/>
    <w:rsid w:val="004A664D"/>
    <w:rsid w:val="004B1325"/>
    <w:rsid w:val="004B4360"/>
    <w:rsid w:val="004B5F89"/>
    <w:rsid w:val="004B686A"/>
    <w:rsid w:val="004B688D"/>
    <w:rsid w:val="004B7792"/>
    <w:rsid w:val="004C101D"/>
    <w:rsid w:val="004C3670"/>
    <w:rsid w:val="004C3BFD"/>
    <w:rsid w:val="004C5C89"/>
    <w:rsid w:val="004D1267"/>
    <w:rsid w:val="004D26AD"/>
    <w:rsid w:val="004D2897"/>
    <w:rsid w:val="004D39E2"/>
    <w:rsid w:val="004D756F"/>
    <w:rsid w:val="004E0E78"/>
    <w:rsid w:val="004E4C4B"/>
    <w:rsid w:val="004E54B6"/>
    <w:rsid w:val="004E6F89"/>
    <w:rsid w:val="004F242D"/>
    <w:rsid w:val="004F3269"/>
    <w:rsid w:val="004F66FE"/>
    <w:rsid w:val="004F7D3A"/>
    <w:rsid w:val="005001FC"/>
    <w:rsid w:val="005025A1"/>
    <w:rsid w:val="00502C4B"/>
    <w:rsid w:val="0050409D"/>
    <w:rsid w:val="00505407"/>
    <w:rsid w:val="00505DA4"/>
    <w:rsid w:val="00506302"/>
    <w:rsid w:val="00510FAD"/>
    <w:rsid w:val="00511471"/>
    <w:rsid w:val="00511887"/>
    <w:rsid w:val="005127C1"/>
    <w:rsid w:val="005138B7"/>
    <w:rsid w:val="005143BA"/>
    <w:rsid w:val="00523BB4"/>
    <w:rsid w:val="005243EC"/>
    <w:rsid w:val="005249CF"/>
    <w:rsid w:val="00525DD1"/>
    <w:rsid w:val="00527A29"/>
    <w:rsid w:val="005343E1"/>
    <w:rsid w:val="005353CB"/>
    <w:rsid w:val="00535CCD"/>
    <w:rsid w:val="00545970"/>
    <w:rsid w:val="00550783"/>
    <w:rsid w:val="005508EE"/>
    <w:rsid w:val="005536FB"/>
    <w:rsid w:val="00555CC8"/>
    <w:rsid w:val="00556B58"/>
    <w:rsid w:val="005577FA"/>
    <w:rsid w:val="0056425E"/>
    <w:rsid w:val="00565745"/>
    <w:rsid w:val="00566B23"/>
    <w:rsid w:val="00566FFF"/>
    <w:rsid w:val="0056705D"/>
    <w:rsid w:val="00571370"/>
    <w:rsid w:val="00575207"/>
    <w:rsid w:val="00577C83"/>
    <w:rsid w:val="00580FF4"/>
    <w:rsid w:val="00583913"/>
    <w:rsid w:val="005842A7"/>
    <w:rsid w:val="00584C95"/>
    <w:rsid w:val="00584CC9"/>
    <w:rsid w:val="00585C10"/>
    <w:rsid w:val="00585FCF"/>
    <w:rsid w:val="00586210"/>
    <w:rsid w:val="00586316"/>
    <w:rsid w:val="00590E29"/>
    <w:rsid w:val="005935C0"/>
    <w:rsid w:val="00596607"/>
    <w:rsid w:val="005A014D"/>
    <w:rsid w:val="005A0968"/>
    <w:rsid w:val="005A188D"/>
    <w:rsid w:val="005A1A5C"/>
    <w:rsid w:val="005A4AD8"/>
    <w:rsid w:val="005A50D3"/>
    <w:rsid w:val="005A576F"/>
    <w:rsid w:val="005A64F3"/>
    <w:rsid w:val="005A6AB3"/>
    <w:rsid w:val="005B0095"/>
    <w:rsid w:val="005B5C8B"/>
    <w:rsid w:val="005B6D38"/>
    <w:rsid w:val="005B73E7"/>
    <w:rsid w:val="005C05E1"/>
    <w:rsid w:val="005C3893"/>
    <w:rsid w:val="005C5E41"/>
    <w:rsid w:val="005C7DB5"/>
    <w:rsid w:val="005D15B9"/>
    <w:rsid w:val="005D1E0A"/>
    <w:rsid w:val="005D352A"/>
    <w:rsid w:val="005D48F9"/>
    <w:rsid w:val="005D4C95"/>
    <w:rsid w:val="005E0AC1"/>
    <w:rsid w:val="005E2508"/>
    <w:rsid w:val="005E437F"/>
    <w:rsid w:val="005E58ED"/>
    <w:rsid w:val="005E62A7"/>
    <w:rsid w:val="005E6B30"/>
    <w:rsid w:val="005F25FD"/>
    <w:rsid w:val="005F3989"/>
    <w:rsid w:val="005F3C5C"/>
    <w:rsid w:val="005F3C69"/>
    <w:rsid w:val="005F5AFD"/>
    <w:rsid w:val="005F6BB8"/>
    <w:rsid w:val="005F6F0A"/>
    <w:rsid w:val="005F7681"/>
    <w:rsid w:val="00601291"/>
    <w:rsid w:val="0060351B"/>
    <w:rsid w:val="00607959"/>
    <w:rsid w:val="0061221F"/>
    <w:rsid w:val="0061371A"/>
    <w:rsid w:val="00614078"/>
    <w:rsid w:val="00614B09"/>
    <w:rsid w:val="006150A0"/>
    <w:rsid w:val="0062228B"/>
    <w:rsid w:val="00624430"/>
    <w:rsid w:val="00625AEE"/>
    <w:rsid w:val="00627687"/>
    <w:rsid w:val="006276D1"/>
    <w:rsid w:val="006279C2"/>
    <w:rsid w:val="00637F2A"/>
    <w:rsid w:val="00642C45"/>
    <w:rsid w:val="0064313B"/>
    <w:rsid w:val="0064319B"/>
    <w:rsid w:val="006434DF"/>
    <w:rsid w:val="0064604F"/>
    <w:rsid w:val="00651D20"/>
    <w:rsid w:val="006523CB"/>
    <w:rsid w:val="0065348A"/>
    <w:rsid w:val="006557A6"/>
    <w:rsid w:val="00657C65"/>
    <w:rsid w:val="006635D1"/>
    <w:rsid w:val="006639FD"/>
    <w:rsid w:val="00664F8F"/>
    <w:rsid w:val="00666A4E"/>
    <w:rsid w:val="00667C21"/>
    <w:rsid w:val="00667CFA"/>
    <w:rsid w:val="00670FFB"/>
    <w:rsid w:val="00672587"/>
    <w:rsid w:val="006775AB"/>
    <w:rsid w:val="006802CA"/>
    <w:rsid w:val="00680F3E"/>
    <w:rsid w:val="006814B9"/>
    <w:rsid w:val="00683039"/>
    <w:rsid w:val="0068417E"/>
    <w:rsid w:val="00684913"/>
    <w:rsid w:val="00684E13"/>
    <w:rsid w:val="00685588"/>
    <w:rsid w:val="006862FD"/>
    <w:rsid w:val="00686D56"/>
    <w:rsid w:val="006921E1"/>
    <w:rsid w:val="00692F13"/>
    <w:rsid w:val="006937D0"/>
    <w:rsid w:val="00693996"/>
    <w:rsid w:val="006948AC"/>
    <w:rsid w:val="00696325"/>
    <w:rsid w:val="006966FC"/>
    <w:rsid w:val="006A2C36"/>
    <w:rsid w:val="006A5E06"/>
    <w:rsid w:val="006B17FD"/>
    <w:rsid w:val="006B44E2"/>
    <w:rsid w:val="006C0C61"/>
    <w:rsid w:val="006C3D61"/>
    <w:rsid w:val="006D4325"/>
    <w:rsid w:val="006D55A6"/>
    <w:rsid w:val="006D6BD0"/>
    <w:rsid w:val="006E09CB"/>
    <w:rsid w:val="006E2124"/>
    <w:rsid w:val="006E23A2"/>
    <w:rsid w:val="006E303F"/>
    <w:rsid w:val="006E46C1"/>
    <w:rsid w:val="006E4E37"/>
    <w:rsid w:val="006E5D76"/>
    <w:rsid w:val="006F17D4"/>
    <w:rsid w:val="006F255A"/>
    <w:rsid w:val="006F2843"/>
    <w:rsid w:val="006F6463"/>
    <w:rsid w:val="0070542C"/>
    <w:rsid w:val="007067D1"/>
    <w:rsid w:val="00713287"/>
    <w:rsid w:val="007136A7"/>
    <w:rsid w:val="007139DD"/>
    <w:rsid w:val="007143AC"/>
    <w:rsid w:val="00716007"/>
    <w:rsid w:val="00716835"/>
    <w:rsid w:val="00716ACF"/>
    <w:rsid w:val="007210C5"/>
    <w:rsid w:val="00726FF0"/>
    <w:rsid w:val="00727230"/>
    <w:rsid w:val="00730AA4"/>
    <w:rsid w:val="0073113B"/>
    <w:rsid w:val="00732C44"/>
    <w:rsid w:val="00734CC7"/>
    <w:rsid w:val="00735337"/>
    <w:rsid w:val="00736348"/>
    <w:rsid w:val="00736448"/>
    <w:rsid w:val="00736D41"/>
    <w:rsid w:val="00736E0A"/>
    <w:rsid w:val="00737F84"/>
    <w:rsid w:val="00740203"/>
    <w:rsid w:val="007434C4"/>
    <w:rsid w:val="007469C6"/>
    <w:rsid w:val="00746C13"/>
    <w:rsid w:val="00747C1C"/>
    <w:rsid w:val="007522A0"/>
    <w:rsid w:val="00752F55"/>
    <w:rsid w:val="007573F4"/>
    <w:rsid w:val="007574DD"/>
    <w:rsid w:val="00760E09"/>
    <w:rsid w:val="00762D25"/>
    <w:rsid w:val="00762FFF"/>
    <w:rsid w:val="00763FE4"/>
    <w:rsid w:val="007646C3"/>
    <w:rsid w:val="007647C1"/>
    <w:rsid w:val="0076595B"/>
    <w:rsid w:val="007662E4"/>
    <w:rsid w:val="0076635A"/>
    <w:rsid w:val="0076743A"/>
    <w:rsid w:val="00770B9A"/>
    <w:rsid w:val="007718E7"/>
    <w:rsid w:val="00774422"/>
    <w:rsid w:val="0077603D"/>
    <w:rsid w:val="007813D2"/>
    <w:rsid w:val="007825BE"/>
    <w:rsid w:val="007831FB"/>
    <w:rsid w:val="007839C3"/>
    <w:rsid w:val="00783E53"/>
    <w:rsid w:val="00785266"/>
    <w:rsid w:val="00785616"/>
    <w:rsid w:val="007910D0"/>
    <w:rsid w:val="00791BB8"/>
    <w:rsid w:val="00792D69"/>
    <w:rsid w:val="007969DF"/>
    <w:rsid w:val="00796B64"/>
    <w:rsid w:val="0079772A"/>
    <w:rsid w:val="007977F2"/>
    <w:rsid w:val="007B1A6C"/>
    <w:rsid w:val="007B5378"/>
    <w:rsid w:val="007C1642"/>
    <w:rsid w:val="007C33F3"/>
    <w:rsid w:val="007C4561"/>
    <w:rsid w:val="007C4814"/>
    <w:rsid w:val="007C516A"/>
    <w:rsid w:val="007C6CFD"/>
    <w:rsid w:val="007D28D7"/>
    <w:rsid w:val="007D31FD"/>
    <w:rsid w:val="007E1B11"/>
    <w:rsid w:val="007E2014"/>
    <w:rsid w:val="007E21F8"/>
    <w:rsid w:val="007E2696"/>
    <w:rsid w:val="007E3374"/>
    <w:rsid w:val="007E4F40"/>
    <w:rsid w:val="007E6A87"/>
    <w:rsid w:val="007E78BD"/>
    <w:rsid w:val="007F14A6"/>
    <w:rsid w:val="007F71A5"/>
    <w:rsid w:val="007F744E"/>
    <w:rsid w:val="007F7F72"/>
    <w:rsid w:val="008010D5"/>
    <w:rsid w:val="0080217C"/>
    <w:rsid w:val="00802828"/>
    <w:rsid w:val="0080288C"/>
    <w:rsid w:val="0080417F"/>
    <w:rsid w:val="00804466"/>
    <w:rsid w:val="00806468"/>
    <w:rsid w:val="00806DBE"/>
    <w:rsid w:val="00807FF1"/>
    <w:rsid w:val="008100D4"/>
    <w:rsid w:val="00810C89"/>
    <w:rsid w:val="008137AD"/>
    <w:rsid w:val="008138B2"/>
    <w:rsid w:val="00813C4A"/>
    <w:rsid w:val="00815862"/>
    <w:rsid w:val="00817C3D"/>
    <w:rsid w:val="00820118"/>
    <w:rsid w:val="00822301"/>
    <w:rsid w:val="00822F81"/>
    <w:rsid w:val="00826926"/>
    <w:rsid w:val="008274B0"/>
    <w:rsid w:val="0082752E"/>
    <w:rsid w:val="008318F6"/>
    <w:rsid w:val="0083313E"/>
    <w:rsid w:val="008331BB"/>
    <w:rsid w:val="008338B5"/>
    <w:rsid w:val="00833D43"/>
    <w:rsid w:val="00840FF7"/>
    <w:rsid w:val="00841169"/>
    <w:rsid w:val="00844032"/>
    <w:rsid w:val="008443D8"/>
    <w:rsid w:val="008445E7"/>
    <w:rsid w:val="00847D3A"/>
    <w:rsid w:val="00855549"/>
    <w:rsid w:val="0086032D"/>
    <w:rsid w:val="00861B3D"/>
    <w:rsid w:val="00862879"/>
    <w:rsid w:val="00865C6A"/>
    <w:rsid w:val="00865CE7"/>
    <w:rsid w:val="0086701C"/>
    <w:rsid w:val="00867262"/>
    <w:rsid w:val="00870BDD"/>
    <w:rsid w:val="008717F1"/>
    <w:rsid w:val="00876D05"/>
    <w:rsid w:val="00876F5C"/>
    <w:rsid w:val="00880ED3"/>
    <w:rsid w:val="00883721"/>
    <w:rsid w:val="00890137"/>
    <w:rsid w:val="008904D0"/>
    <w:rsid w:val="008924E3"/>
    <w:rsid w:val="0089270D"/>
    <w:rsid w:val="008A1DAE"/>
    <w:rsid w:val="008A247E"/>
    <w:rsid w:val="008A2C2A"/>
    <w:rsid w:val="008A35A2"/>
    <w:rsid w:val="008A3D62"/>
    <w:rsid w:val="008A6605"/>
    <w:rsid w:val="008A6A0C"/>
    <w:rsid w:val="008B183A"/>
    <w:rsid w:val="008B4B98"/>
    <w:rsid w:val="008C183F"/>
    <w:rsid w:val="008C1C95"/>
    <w:rsid w:val="008C3C03"/>
    <w:rsid w:val="008C3D9F"/>
    <w:rsid w:val="008C4122"/>
    <w:rsid w:val="008C669E"/>
    <w:rsid w:val="008D0D92"/>
    <w:rsid w:val="008D2A77"/>
    <w:rsid w:val="008D2EC9"/>
    <w:rsid w:val="008D62F8"/>
    <w:rsid w:val="008D652E"/>
    <w:rsid w:val="008D6A3E"/>
    <w:rsid w:val="008E1B3C"/>
    <w:rsid w:val="008E28EF"/>
    <w:rsid w:val="008E4419"/>
    <w:rsid w:val="008E56A4"/>
    <w:rsid w:val="008E5BA8"/>
    <w:rsid w:val="008E664D"/>
    <w:rsid w:val="008E6FCA"/>
    <w:rsid w:val="008F2FAE"/>
    <w:rsid w:val="008F4B70"/>
    <w:rsid w:val="008F4E22"/>
    <w:rsid w:val="008F4ED3"/>
    <w:rsid w:val="008F61C4"/>
    <w:rsid w:val="009019A9"/>
    <w:rsid w:val="00904368"/>
    <w:rsid w:val="00904953"/>
    <w:rsid w:val="009052F5"/>
    <w:rsid w:val="00905991"/>
    <w:rsid w:val="009072F7"/>
    <w:rsid w:val="00907BFE"/>
    <w:rsid w:val="00907C13"/>
    <w:rsid w:val="00907DF5"/>
    <w:rsid w:val="00910C1F"/>
    <w:rsid w:val="00911263"/>
    <w:rsid w:val="0091321D"/>
    <w:rsid w:val="0091391C"/>
    <w:rsid w:val="00913E52"/>
    <w:rsid w:val="00916CED"/>
    <w:rsid w:val="00917909"/>
    <w:rsid w:val="00917D07"/>
    <w:rsid w:val="0092122F"/>
    <w:rsid w:val="009225D9"/>
    <w:rsid w:val="0092393F"/>
    <w:rsid w:val="0092431B"/>
    <w:rsid w:val="00925F15"/>
    <w:rsid w:val="0092757A"/>
    <w:rsid w:val="00930715"/>
    <w:rsid w:val="0093101C"/>
    <w:rsid w:val="0093543E"/>
    <w:rsid w:val="00937E8B"/>
    <w:rsid w:val="009460E7"/>
    <w:rsid w:val="00947483"/>
    <w:rsid w:val="00947FDB"/>
    <w:rsid w:val="00952219"/>
    <w:rsid w:val="009539B0"/>
    <w:rsid w:val="009543A4"/>
    <w:rsid w:val="00955F17"/>
    <w:rsid w:val="009562D0"/>
    <w:rsid w:val="00957124"/>
    <w:rsid w:val="00960B9B"/>
    <w:rsid w:val="00960CC3"/>
    <w:rsid w:val="0096180D"/>
    <w:rsid w:val="00961E3B"/>
    <w:rsid w:val="00962360"/>
    <w:rsid w:val="009669AD"/>
    <w:rsid w:val="00966EB0"/>
    <w:rsid w:val="00970115"/>
    <w:rsid w:val="00972945"/>
    <w:rsid w:val="00973C64"/>
    <w:rsid w:val="00974384"/>
    <w:rsid w:val="00974D81"/>
    <w:rsid w:val="00976903"/>
    <w:rsid w:val="00977F9C"/>
    <w:rsid w:val="00983AF5"/>
    <w:rsid w:val="00986AA9"/>
    <w:rsid w:val="00987296"/>
    <w:rsid w:val="00987B83"/>
    <w:rsid w:val="00987E66"/>
    <w:rsid w:val="00990173"/>
    <w:rsid w:val="00992244"/>
    <w:rsid w:val="00993567"/>
    <w:rsid w:val="00994CE5"/>
    <w:rsid w:val="00995A38"/>
    <w:rsid w:val="009965E1"/>
    <w:rsid w:val="009969CC"/>
    <w:rsid w:val="009A23F7"/>
    <w:rsid w:val="009A2B2A"/>
    <w:rsid w:val="009A38DA"/>
    <w:rsid w:val="009A3F7F"/>
    <w:rsid w:val="009A4775"/>
    <w:rsid w:val="009A75C4"/>
    <w:rsid w:val="009B0897"/>
    <w:rsid w:val="009B0E59"/>
    <w:rsid w:val="009B276A"/>
    <w:rsid w:val="009B3223"/>
    <w:rsid w:val="009B3F8C"/>
    <w:rsid w:val="009B4063"/>
    <w:rsid w:val="009B52E5"/>
    <w:rsid w:val="009B5C5F"/>
    <w:rsid w:val="009B6AF7"/>
    <w:rsid w:val="009C0968"/>
    <w:rsid w:val="009C1354"/>
    <w:rsid w:val="009C3C0C"/>
    <w:rsid w:val="009C3CDC"/>
    <w:rsid w:val="009C5ADA"/>
    <w:rsid w:val="009C6214"/>
    <w:rsid w:val="009C77BF"/>
    <w:rsid w:val="009D02ED"/>
    <w:rsid w:val="009D1D56"/>
    <w:rsid w:val="009D1EB8"/>
    <w:rsid w:val="009D49AA"/>
    <w:rsid w:val="009D4FBB"/>
    <w:rsid w:val="009D7602"/>
    <w:rsid w:val="009E3151"/>
    <w:rsid w:val="009E680B"/>
    <w:rsid w:val="009F1902"/>
    <w:rsid w:val="009F4086"/>
    <w:rsid w:val="009F4F44"/>
    <w:rsid w:val="009F58BC"/>
    <w:rsid w:val="009F7239"/>
    <w:rsid w:val="00A0249B"/>
    <w:rsid w:val="00A0479E"/>
    <w:rsid w:val="00A05C88"/>
    <w:rsid w:val="00A07644"/>
    <w:rsid w:val="00A11761"/>
    <w:rsid w:val="00A11ECD"/>
    <w:rsid w:val="00A12BE0"/>
    <w:rsid w:val="00A137EF"/>
    <w:rsid w:val="00A144F8"/>
    <w:rsid w:val="00A1592C"/>
    <w:rsid w:val="00A15A1F"/>
    <w:rsid w:val="00A16F4B"/>
    <w:rsid w:val="00A17B57"/>
    <w:rsid w:val="00A240EE"/>
    <w:rsid w:val="00A25B7F"/>
    <w:rsid w:val="00A264CE"/>
    <w:rsid w:val="00A3050E"/>
    <w:rsid w:val="00A305B3"/>
    <w:rsid w:val="00A32C40"/>
    <w:rsid w:val="00A3325A"/>
    <w:rsid w:val="00A4094A"/>
    <w:rsid w:val="00A426BE"/>
    <w:rsid w:val="00A47852"/>
    <w:rsid w:val="00A526EF"/>
    <w:rsid w:val="00A52CA6"/>
    <w:rsid w:val="00A53E97"/>
    <w:rsid w:val="00A54F81"/>
    <w:rsid w:val="00A60794"/>
    <w:rsid w:val="00A611CE"/>
    <w:rsid w:val="00A614C6"/>
    <w:rsid w:val="00A7018B"/>
    <w:rsid w:val="00A70A7A"/>
    <w:rsid w:val="00A71410"/>
    <w:rsid w:val="00A74AE2"/>
    <w:rsid w:val="00A756BB"/>
    <w:rsid w:val="00A77B63"/>
    <w:rsid w:val="00A80975"/>
    <w:rsid w:val="00A80F87"/>
    <w:rsid w:val="00A8249A"/>
    <w:rsid w:val="00A85968"/>
    <w:rsid w:val="00A866E2"/>
    <w:rsid w:val="00A879B5"/>
    <w:rsid w:val="00A90FB2"/>
    <w:rsid w:val="00A922F5"/>
    <w:rsid w:val="00A9270F"/>
    <w:rsid w:val="00A96317"/>
    <w:rsid w:val="00A9690E"/>
    <w:rsid w:val="00A9779D"/>
    <w:rsid w:val="00AA276F"/>
    <w:rsid w:val="00AA32D3"/>
    <w:rsid w:val="00AA4327"/>
    <w:rsid w:val="00AA5CBC"/>
    <w:rsid w:val="00AA74EB"/>
    <w:rsid w:val="00AA7A0F"/>
    <w:rsid w:val="00AB09A9"/>
    <w:rsid w:val="00AB1BBA"/>
    <w:rsid w:val="00AB3D08"/>
    <w:rsid w:val="00AB487A"/>
    <w:rsid w:val="00AB5614"/>
    <w:rsid w:val="00AB6032"/>
    <w:rsid w:val="00AB744E"/>
    <w:rsid w:val="00AC2019"/>
    <w:rsid w:val="00AC2382"/>
    <w:rsid w:val="00AC63A6"/>
    <w:rsid w:val="00AC7C93"/>
    <w:rsid w:val="00AD09F8"/>
    <w:rsid w:val="00AD23FF"/>
    <w:rsid w:val="00AD3BCE"/>
    <w:rsid w:val="00AD56B1"/>
    <w:rsid w:val="00AD7CB3"/>
    <w:rsid w:val="00AE0661"/>
    <w:rsid w:val="00AE22A6"/>
    <w:rsid w:val="00AE249A"/>
    <w:rsid w:val="00AE38DB"/>
    <w:rsid w:val="00AE495F"/>
    <w:rsid w:val="00AE537D"/>
    <w:rsid w:val="00AE5576"/>
    <w:rsid w:val="00AE5854"/>
    <w:rsid w:val="00AE76CB"/>
    <w:rsid w:val="00AF108A"/>
    <w:rsid w:val="00AF10F5"/>
    <w:rsid w:val="00AF1393"/>
    <w:rsid w:val="00AF27B4"/>
    <w:rsid w:val="00AF5D31"/>
    <w:rsid w:val="00AF6DD8"/>
    <w:rsid w:val="00B01831"/>
    <w:rsid w:val="00B0269C"/>
    <w:rsid w:val="00B02E55"/>
    <w:rsid w:val="00B03527"/>
    <w:rsid w:val="00B0389A"/>
    <w:rsid w:val="00B0538C"/>
    <w:rsid w:val="00B06D4E"/>
    <w:rsid w:val="00B11A62"/>
    <w:rsid w:val="00B14C5C"/>
    <w:rsid w:val="00B14C68"/>
    <w:rsid w:val="00B14DDE"/>
    <w:rsid w:val="00B157D0"/>
    <w:rsid w:val="00B15EF3"/>
    <w:rsid w:val="00B17751"/>
    <w:rsid w:val="00B17DE0"/>
    <w:rsid w:val="00B22A36"/>
    <w:rsid w:val="00B265EB"/>
    <w:rsid w:val="00B27031"/>
    <w:rsid w:val="00B307EC"/>
    <w:rsid w:val="00B32429"/>
    <w:rsid w:val="00B341DA"/>
    <w:rsid w:val="00B44CE2"/>
    <w:rsid w:val="00B453BB"/>
    <w:rsid w:val="00B50B39"/>
    <w:rsid w:val="00B53A23"/>
    <w:rsid w:val="00B54BE5"/>
    <w:rsid w:val="00B55D4E"/>
    <w:rsid w:val="00B570F4"/>
    <w:rsid w:val="00B57BE4"/>
    <w:rsid w:val="00B67460"/>
    <w:rsid w:val="00B67A85"/>
    <w:rsid w:val="00B70575"/>
    <w:rsid w:val="00B70FFB"/>
    <w:rsid w:val="00B712E5"/>
    <w:rsid w:val="00B72513"/>
    <w:rsid w:val="00B73B73"/>
    <w:rsid w:val="00B77084"/>
    <w:rsid w:val="00B80DC7"/>
    <w:rsid w:val="00B8205D"/>
    <w:rsid w:val="00B8239B"/>
    <w:rsid w:val="00B8344E"/>
    <w:rsid w:val="00B847E6"/>
    <w:rsid w:val="00B854AD"/>
    <w:rsid w:val="00B86D83"/>
    <w:rsid w:val="00B87486"/>
    <w:rsid w:val="00B909E1"/>
    <w:rsid w:val="00B91264"/>
    <w:rsid w:val="00B94316"/>
    <w:rsid w:val="00B956ED"/>
    <w:rsid w:val="00B95E5A"/>
    <w:rsid w:val="00B96E71"/>
    <w:rsid w:val="00B97C95"/>
    <w:rsid w:val="00BA02F9"/>
    <w:rsid w:val="00BA164A"/>
    <w:rsid w:val="00BA31F9"/>
    <w:rsid w:val="00BA3317"/>
    <w:rsid w:val="00BA3FDA"/>
    <w:rsid w:val="00BA4313"/>
    <w:rsid w:val="00BA4784"/>
    <w:rsid w:val="00BA49EA"/>
    <w:rsid w:val="00BA4F42"/>
    <w:rsid w:val="00BA513C"/>
    <w:rsid w:val="00BA570A"/>
    <w:rsid w:val="00BA714E"/>
    <w:rsid w:val="00BA7AA3"/>
    <w:rsid w:val="00BB14CA"/>
    <w:rsid w:val="00BB4FE5"/>
    <w:rsid w:val="00BB544C"/>
    <w:rsid w:val="00BB6334"/>
    <w:rsid w:val="00BB6352"/>
    <w:rsid w:val="00BB716A"/>
    <w:rsid w:val="00BC0422"/>
    <w:rsid w:val="00BC0BE8"/>
    <w:rsid w:val="00BC2765"/>
    <w:rsid w:val="00BC3D2A"/>
    <w:rsid w:val="00BC402A"/>
    <w:rsid w:val="00BC4575"/>
    <w:rsid w:val="00BC4CA0"/>
    <w:rsid w:val="00BC67CC"/>
    <w:rsid w:val="00BC6FC8"/>
    <w:rsid w:val="00BC7ABB"/>
    <w:rsid w:val="00BD079D"/>
    <w:rsid w:val="00BD2A8E"/>
    <w:rsid w:val="00BD3051"/>
    <w:rsid w:val="00BD38BB"/>
    <w:rsid w:val="00BD4879"/>
    <w:rsid w:val="00BD50F7"/>
    <w:rsid w:val="00BD674E"/>
    <w:rsid w:val="00BE10A8"/>
    <w:rsid w:val="00BE1898"/>
    <w:rsid w:val="00BE1F45"/>
    <w:rsid w:val="00BE2BC8"/>
    <w:rsid w:val="00BE387B"/>
    <w:rsid w:val="00BE5835"/>
    <w:rsid w:val="00BE5D71"/>
    <w:rsid w:val="00BE7D2D"/>
    <w:rsid w:val="00BF0116"/>
    <w:rsid w:val="00BF1474"/>
    <w:rsid w:val="00BF24FE"/>
    <w:rsid w:val="00BF28F7"/>
    <w:rsid w:val="00BF3B0A"/>
    <w:rsid w:val="00BF4B06"/>
    <w:rsid w:val="00BF54C1"/>
    <w:rsid w:val="00BF5BDB"/>
    <w:rsid w:val="00BF7FE0"/>
    <w:rsid w:val="00C0050E"/>
    <w:rsid w:val="00C026AC"/>
    <w:rsid w:val="00C0570D"/>
    <w:rsid w:val="00C130C8"/>
    <w:rsid w:val="00C13168"/>
    <w:rsid w:val="00C13F60"/>
    <w:rsid w:val="00C14404"/>
    <w:rsid w:val="00C17D6A"/>
    <w:rsid w:val="00C203C9"/>
    <w:rsid w:val="00C22E43"/>
    <w:rsid w:val="00C23238"/>
    <w:rsid w:val="00C235DF"/>
    <w:rsid w:val="00C2539E"/>
    <w:rsid w:val="00C278DE"/>
    <w:rsid w:val="00C2796B"/>
    <w:rsid w:val="00C3004B"/>
    <w:rsid w:val="00C31F4C"/>
    <w:rsid w:val="00C3209A"/>
    <w:rsid w:val="00C32ADC"/>
    <w:rsid w:val="00C35755"/>
    <w:rsid w:val="00C42E13"/>
    <w:rsid w:val="00C4427F"/>
    <w:rsid w:val="00C46651"/>
    <w:rsid w:val="00C47DDE"/>
    <w:rsid w:val="00C50912"/>
    <w:rsid w:val="00C50FF0"/>
    <w:rsid w:val="00C56073"/>
    <w:rsid w:val="00C578C1"/>
    <w:rsid w:val="00C57E04"/>
    <w:rsid w:val="00C63347"/>
    <w:rsid w:val="00C64D23"/>
    <w:rsid w:val="00C67B74"/>
    <w:rsid w:val="00C7123A"/>
    <w:rsid w:val="00C7128F"/>
    <w:rsid w:val="00C71666"/>
    <w:rsid w:val="00C7331B"/>
    <w:rsid w:val="00C74667"/>
    <w:rsid w:val="00C74D07"/>
    <w:rsid w:val="00C803FD"/>
    <w:rsid w:val="00C80EB4"/>
    <w:rsid w:val="00C8156F"/>
    <w:rsid w:val="00C86682"/>
    <w:rsid w:val="00C90846"/>
    <w:rsid w:val="00C92700"/>
    <w:rsid w:val="00C92E3F"/>
    <w:rsid w:val="00C94681"/>
    <w:rsid w:val="00CA129E"/>
    <w:rsid w:val="00CA20B5"/>
    <w:rsid w:val="00CA3562"/>
    <w:rsid w:val="00CA371D"/>
    <w:rsid w:val="00CA424D"/>
    <w:rsid w:val="00CA6681"/>
    <w:rsid w:val="00CA77AE"/>
    <w:rsid w:val="00CB0A27"/>
    <w:rsid w:val="00CB2154"/>
    <w:rsid w:val="00CB35D9"/>
    <w:rsid w:val="00CB4A8A"/>
    <w:rsid w:val="00CB60DD"/>
    <w:rsid w:val="00CB6E1F"/>
    <w:rsid w:val="00CB7E4D"/>
    <w:rsid w:val="00CC04DE"/>
    <w:rsid w:val="00CC12E7"/>
    <w:rsid w:val="00CC3F84"/>
    <w:rsid w:val="00CC6E2D"/>
    <w:rsid w:val="00CD24A8"/>
    <w:rsid w:val="00CD315A"/>
    <w:rsid w:val="00CD319A"/>
    <w:rsid w:val="00CD5502"/>
    <w:rsid w:val="00CE0526"/>
    <w:rsid w:val="00CE1ED9"/>
    <w:rsid w:val="00CE3665"/>
    <w:rsid w:val="00CE4205"/>
    <w:rsid w:val="00CE4F42"/>
    <w:rsid w:val="00CE5520"/>
    <w:rsid w:val="00CF0BB4"/>
    <w:rsid w:val="00CF1333"/>
    <w:rsid w:val="00CF1BB4"/>
    <w:rsid w:val="00CF2FF8"/>
    <w:rsid w:val="00CF3F6B"/>
    <w:rsid w:val="00CF4851"/>
    <w:rsid w:val="00CF58B7"/>
    <w:rsid w:val="00CF5DD6"/>
    <w:rsid w:val="00D0069F"/>
    <w:rsid w:val="00D007C0"/>
    <w:rsid w:val="00D05493"/>
    <w:rsid w:val="00D103E1"/>
    <w:rsid w:val="00D11C27"/>
    <w:rsid w:val="00D13EFE"/>
    <w:rsid w:val="00D148D5"/>
    <w:rsid w:val="00D16E6A"/>
    <w:rsid w:val="00D172EA"/>
    <w:rsid w:val="00D1792B"/>
    <w:rsid w:val="00D224A1"/>
    <w:rsid w:val="00D2279D"/>
    <w:rsid w:val="00D2772A"/>
    <w:rsid w:val="00D33FC2"/>
    <w:rsid w:val="00D34790"/>
    <w:rsid w:val="00D349ED"/>
    <w:rsid w:val="00D351C1"/>
    <w:rsid w:val="00D35E64"/>
    <w:rsid w:val="00D36CA3"/>
    <w:rsid w:val="00D4060C"/>
    <w:rsid w:val="00D41537"/>
    <w:rsid w:val="00D4249C"/>
    <w:rsid w:val="00D428BC"/>
    <w:rsid w:val="00D44776"/>
    <w:rsid w:val="00D44CE7"/>
    <w:rsid w:val="00D45804"/>
    <w:rsid w:val="00D46BC7"/>
    <w:rsid w:val="00D47082"/>
    <w:rsid w:val="00D51245"/>
    <w:rsid w:val="00D532B8"/>
    <w:rsid w:val="00D54B6F"/>
    <w:rsid w:val="00D54E73"/>
    <w:rsid w:val="00D575A3"/>
    <w:rsid w:val="00D613A6"/>
    <w:rsid w:val="00D617A6"/>
    <w:rsid w:val="00D650EA"/>
    <w:rsid w:val="00D72C40"/>
    <w:rsid w:val="00D737C5"/>
    <w:rsid w:val="00D73835"/>
    <w:rsid w:val="00D76F5A"/>
    <w:rsid w:val="00D7722A"/>
    <w:rsid w:val="00D80B1B"/>
    <w:rsid w:val="00D82293"/>
    <w:rsid w:val="00D8405B"/>
    <w:rsid w:val="00D84E7D"/>
    <w:rsid w:val="00D86BF0"/>
    <w:rsid w:val="00D86DCB"/>
    <w:rsid w:val="00D91BA1"/>
    <w:rsid w:val="00D939B7"/>
    <w:rsid w:val="00D950D8"/>
    <w:rsid w:val="00D95477"/>
    <w:rsid w:val="00D959C3"/>
    <w:rsid w:val="00D961B8"/>
    <w:rsid w:val="00DA1511"/>
    <w:rsid w:val="00DA6FB8"/>
    <w:rsid w:val="00DA777A"/>
    <w:rsid w:val="00DB0188"/>
    <w:rsid w:val="00DB26A8"/>
    <w:rsid w:val="00DB2EF6"/>
    <w:rsid w:val="00DB3C58"/>
    <w:rsid w:val="00DB4F9F"/>
    <w:rsid w:val="00DB5728"/>
    <w:rsid w:val="00DB5AE0"/>
    <w:rsid w:val="00DB6161"/>
    <w:rsid w:val="00DB65B9"/>
    <w:rsid w:val="00DB70FB"/>
    <w:rsid w:val="00DC0CD5"/>
    <w:rsid w:val="00DC334D"/>
    <w:rsid w:val="00DC6AAD"/>
    <w:rsid w:val="00DE165D"/>
    <w:rsid w:val="00DE2FD7"/>
    <w:rsid w:val="00DE45A3"/>
    <w:rsid w:val="00DE466D"/>
    <w:rsid w:val="00DE5EE7"/>
    <w:rsid w:val="00DF1EC1"/>
    <w:rsid w:val="00DF343E"/>
    <w:rsid w:val="00DF67C3"/>
    <w:rsid w:val="00DF6CEB"/>
    <w:rsid w:val="00E0098A"/>
    <w:rsid w:val="00E009D9"/>
    <w:rsid w:val="00E03F71"/>
    <w:rsid w:val="00E045EE"/>
    <w:rsid w:val="00E06ED0"/>
    <w:rsid w:val="00E1082D"/>
    <w:rsid w:val="00E130CB"/>
    <w:rsid w:val="00E14934"/>
    <w:rsid w:val="00E172BE"/>
    <w:rsid w:val="00E2160E"/>
    <w:rsid w:val="00E24E02"/>
    <w:rsid w:val="00E25895"/>
    <w:rsid w:val="00E30CA9"/>
    <w:rsid w:val="00E34A54"/>
    <w:rsid w:val="00E405E1"/>
    <w:rsid w:val="00E408AB"/>
    <w:rsid w:val="00E41E68"/>
    <w:rsid w:val="00E43B2D"/>
    <w:rsid w:val="00E460A6"/>
    <w:rsid w:val="00E50CB6"/>
    <w:rsid w:val="00E51920"/>
    <w:rsid w:val="00E53A58"/>
    <w:rsid w:val="00E542FA"/>
    <w:rsid w:val="00E54D26"/>
    <w:rsid w:val="00E620CC"/>
    <w:rsid w:val="00E63ADD"/>
    <w:rsid w:val="00E64120"/>
    <w:rsid w:val="00E65FA3"/>
    <w:rsid w:val="00E678CB"/>
    <w:rsid w:val="00E67D1E"/>
    <w:rsid w:val="00E707FD"/>
    <w:rsid w:val="00E710D7"/>
    <w:rsid w:val="00E71348"/>
    <w:rsid w:val="00E71657"/>
    <w:rsid w:val="00E72EDE"/>
    <w:rsid w:val="00E745BB"/>
    <w:rsid w:val="00E8010A"/>
    <w:rsid w:val="00E8229C"/>
    <w:rsid w:val="00E836E5"/>
    <w:rsid w:val="00E84601"/>
    <w:rsid w:val="00E85E09"/>
    <w:rsid w:val="00E8605D"/>
    <w:rsid w:val="00E92CE2"/>
    <w:rsid w:val="00E93CDD"/>
    <w:rsid w:val="00E949AC"/>
    <w:rsid w:val="00E977FB"/>
    <w:rsid w:val="00EA0944"/>
    <w:rsid w:val="00EA1325"/>
    <w:rsid w:val="00EA22D5"/>
    <w:rsid w:val="00EA241F"/>
    <w:rsid w:val="00EA2704"/>
    <w:rsid w:val="00EA4221"/>
    <w:rsid w:val="00EB2FE6"/>
    <w:rsid w:val="00EB3CD8"/>
    <w:rsid w:val="00EB6F5F"/>
    <w:rsid w:val="00ED07B2"/>
    <w:rsid w:val="00ED246E"/>
    <w:rsid w:val="00ED379C"/>
    <w:rsid w:val="00ED4D08"/>
    <w:rsid w:val="00ED5834"/>
    <w:rsid w:val="00ED6AAF"/>
    <w:rsid w:val="00EE065C"/>
    <w:rsid w:val="00EE3926"/>
    <w:rsid w:val="00EE5D34"/>
    <w:rsid w:val="00EE776F"/>
    <w:rsid w:val="00EF319C"/>
    <w:rsid w:val="00EF3258"/>
    <w:rsid w:val="00EF7C4A"/>
    <w:rsid w:val="00F00846"/>
    <w:rsid w:val="00F02496"/>
    <w:rsid w:val="00F027E4"/>
    <w:rsid w:val="00F055F1"/>
    <w:rsid w:val="00F05A46"/>
    <w:rsid w:val="00F100EB"/>
    <w:rsid w:val="00F15458"/>
    <w:rsid w:val="00F158C7"/>
    <w:rsid w:val="00F162F4"/>
    <w:rsid w:val="00F16C11"/>
    <w:rsid w:val="00F17CD4"/>
    <w:rsid w:val="00F2157D"/>
    <w:rsid w:val="00F22278"/>
    <w:rsid w:val="00F25246"/>
    <w:rsid w:val="00F307D6"/>
    <w:rsid w:val="00F31A8E"/>
    <w:rsid w:val="00F32C2D"/>
    <w:rsid w:val="00F33A4C"/>
    <w:rsid w:val="00F3442A"/>
    <w:rsid w:val="00F34B87"/>
    <w:rsid w:val="00F358BF"/>
    <w:rsid w:val="00F35CB2"/>
    <w:rsid w:val="00F374CD"/>
    <w:rsid w:val="00F4046E"/>
    <w:rsid w:val="00F41E92"/>
    <w:rsid w:val="00F434FF"/>
    <w:rsid w:val="00F4425B"/>
    <w:rsid w:val="00F461FD"/>
    <w:rsid w:val="00F476F3"/>
    <w:rsid w:val="00F50AB9"/>
    <w:rsid w:val="00F51024"/>
    <w:rsid w:val="00F5122A"/>
    <w:rsid w:val="00F51940"/>
    <w:rsid w:val="00F51A84"/>
    <w:rsid w:val="00F523CD"/>
    <w:rsid w:val="00F53495"/>
    <w:rsid w:val="00F559F9"/>
    <w:rsid w:val="00F56168"/>
    <w:rsid w:val="00F561EE"/>
    <w:rsid w:val="00F63D66"/>
    <w:rsid w:val="00F64504"/>
    <w:rsid w:val="00F6458C"/>
    <w:rsid w:val="00F6478A"/>
    <w:rsid w:val="00F6661C"/>
    <w:rsid w:val="00F6682D"/>
    <w:rsid w:val="00F701C7"/>
    <w:rsid w:val="00F7531F"/>
    <w:rsid w:val="00F762D8"/>
    <w:rsid w:val="00F7721E"/>
    <w:rsid w:val="00F77823"/>
    <w:rsid w:val="00F77F03"/>
    <w:rsid w:val="00F77FD4"/>
    <w:rsid w:val="00F81C15"/>
    <w:rsid w:val="00F82391"/>
    <w:rsid w:val="00F8333E"/>
    <w:rsid w:val="00F858CA"/>
    <w:rsid w:val="00F87E9D"/>
    <w:rsid w:val="00F9034E"/>
    <w:rsid w:val="00F916DC"/>
    <w:rsid w:val="00F94BD6"/>
    <w:rsid w:val="00F958CC"/>
    <w:rsid w:val="00FA464E"/>
    <w:rsid w:val="00FA60EE"/>
    <w:rsid w:val="00FB2379"/>
    <w:rsid w:val="00FB25E5"/>
    <w:rsid w:val="00FB3848"/>
    <w:rsid w:val="00FB5293"/>
    <w:rsid w:val="00FB5446"/>
    <w:rsid w:val="00FC0D46"/>
    <w:rsid w:val="00FC10ED"/>
    <w:rsid w:val="00FC1841"/>
    <w:rsid w:val="00FC2D11"/>
    <w:rsid w:val="00FC373B"/>
    <w:rsid w:val="00FC6230"/>
    <w:rsid w:val="00FD0268"/>
    <w:rsid w:val="00FD05BA"/>
    <w:rsid w:val="00FD0638"/>
    <w:rsid w:val="00FD2A0A"/>
    <w:rsid w:val="00FD3934"/>
    <w:rsid w:val="00FD40F7"/>
    <w:rsid w:val="00FD5913"/>
    <w:rsid w:val="00FE0558"/>
    <w:rsid w:val="00FE0BF6"/>
    <w:rsid w:val="00FE11E8"/>
    <w:rsid w:val="00FE29B5"/>
    <w:rsid w:val="00FE32EB"/>
    <w:rsid w:val="00FE3AFF"/>
    <w:rsid w:val="00FE7F98"/>
    <w:rsid w:val="00FF065B"/>
    <w:rsid w:val="00FF23E1"/>
    <w:rsid w:val="00FF49E7"/>
    <w:rsid w:val="00FF61E7"/>
    <w:rsid w:val="00FF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shapelayout v:ext="edit">
      <o:idmap v:ext="edit" data="1"/>
    </o:shapelayout>
  </w:shapeDefaults>
  <w:decimalSymbol w:val="."/>
  <w:listSeparator w:val=","/>
  <w14:docId w14:val="0327BEC1"/>
  <w15:docId w15:val="{8AE8C065-8CAE-42E9-963F-23C1FC2A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8EB"/>
    <w:rPr>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F858CA"/>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qFormat/>
    <w:rsid w:val="001A23E4"/>
    <w:pPr>
      <w:spacing w:before="240" w:after="240" w:line="276" w:lineRule="auto"/>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FC10ED"/>
    <w:rPr>
      <w:rFonts w:ascii="Arial" w:hAnsi="Arial"/>
      <w:b/>
      <w:bCs/>
      <w:kern w:val="28"/>
      <w:sz w:val="32"/>
      <w:szCs w:val="32"/>
    </w:rPr>
  </w:style>
  <w:style w:type="character" w:customStyle="1" w:styleId="Heading1Char">
    <w:name w:val="Heading 1 Char"/>
    <w:basedOn w:val="DefaultParagraphFont"/>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1"/>
      </w:numPr>
      <w:spacing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rsid w:val="006921E1"/>
    <w:rPr>
      <w:rFonts w:ascii="Arial" w:hAnsi="Arial"/>
      <w:b/>
      <w:bCs/>
      <w:i/>
      <w:iCs/>
      <w:sz w:val="28"/>
      <w:szCs w:val="28"/>
    </w:rPr>
  </w:style>
  <w:style w:type="character" w:customStyle="1" w:styleId="Heading3Char">
    <w:name w:val="Heading 3 Char"/>
    <w:basedOn w:val="DefaultParagraphFont"/>
    <w:link w:val="Heading3"/>
    <w:rsid w:val="006921E1"/>
    <w:rPr>
      <w:rFonts w:ascii="Arial" w:hAnsi="Arial"/>
      <w:b/>
      <w:bCs/>
      <w:sz w:val="24"/>
      <w:szCs w:val="26"/>
    </w:rPr>
  </w:style>
  <w:style w:type="paragraph" w:customStyle="1" w:styleId="Subbullets">
    <w:name w:val="Sub bullets"/>
    <w:basedOn w:val="Normal"/>
    <w:uiPriority w:val="6"/>
    <w:qFormat/>
    <w:rsid w:val="001A23E4"/>
    <w:pPr>
      <w:numPr>
        <w:numId w:val="2"/>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uiPriority w:val="39"/>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link w:val="NICEnormalChar"/>
    <w:qFormat/>
    <w:rsid w:val="00381FB7"/>
    <w:pPr>
      <w:spacing w:after="240" w:line="360" w:lineRule="auto"/>
    </w:pPr>
    <w:rPr>
      <w:rFonts w:ascii="Arial" w:hAnsi="Arial"/>
      <w:sz w:val="24"/>
      <w:szCs w:val="24"/>
      <w:lang w:val="en-US" w:eastAsia="en-US"/>
    </w:r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uiPriority w:val="39"/>
    <w:rsid w:val="00F858CA"/>
    <w:rPr>
      <w:rFonts w:ascii="Arial" w:hAnsi="Arial"/>
    </w:rPr>
  </w:style>
  <w:style w:type="paragraph" w:styleId="TOC2">
    <w:name w:val="toc 2"/>
    <w:basedOn w:val="Normal"/>
    <w:next w:val="Normal"/>
    <w:autoRedefine/>
    <w:semiHidden/>
    <w:rsid w:val="00F858CA"/>
    <w:pPr>
      <w:ind w:left="240"/>
    </w:pPr>
    <w:rPr>
      <w:rFonts w:ascii="Arial" w:hAnsi="Arial"/>
    </w:rPr>
  </w:style>
  <w:style w:type="paragraph" w:styleId="TOC3">
    <w:name w:val="toc 3"/>
    <w:basedOn w:val="Normal"/>
    <w:next w:val="Normal"/>
    <w:autoRedefine/>
    <w:uiPriority w:val="39"/>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basedOn w:val="DefaultParagraphFont"/>
    <w:link w:val="Heading4"/>
    <w:rsid w:val="00F858CA"/>
    <w:rPr>
      <w:rFonts w:ascii="Arial" w:eastAsia="Times New Roman" w:hAnsi="Arial" w:cs="Times New Roman"/>
      <w:b/>
      <w:bCs/>
      <w:i/>
      <w:sz w:val="24"/>
      <w:szCs w:val="28"/>
    </w:rPr>
  </w:style>
  <w:style w:type="character" w:customStyle="1" w:styleId="NICEnormalChar">
    <w:name w:val="NICE normal Char"/>
    <w:basedOn w:val="DefaultParagraphFont"/>
    <w:link w:val="NICEnormal"/>
    <w:rsid w:val="00381FB7"/>
    <w:rPr>
      <w:rFonts w:ascii="Arial" w:hAnsi="Arial"/>
      <w:sz w:val="24"/>
      <w:szCs w:val="24"/>
      <w:lang w:val="en-US" w:eastAsia="en-US" w:bidi="ar-SA"/>
    </w:rPr>
  </w:style>
  <w:style w:type="paragraph" w:customStyle="1" w:styleId="Title16pt">
    <w:name w:val="Title 16 pt"/>
    <w:basedOn w:val="Title"/>
    <w:rsid w:val="00381FB7"/>
    <w:pPr>
      <w:keepNext/>
    </w:pPr>
    <w:rPr>
      <w:rFonts w:cs="Arial"/>
    </w:rPr>
  </w:style>
  <w:style w:type="paragraph" w:customStyle="1" w:styleId="Appendixbullet">
    <w:name w:val="Appendix bullet"/>
    <w:basedOn w:val="NICEnormal"/>
    <w:rsid w:val="00381FB7"/>
    <w:pPr>
      <w:numPr>
        <w:numId w:val="3"/>
      </w:numPr>
      <w:tabs>
        <w:tab w:val="clear" w:pos="1701"/>
      </w:tabs>
      <w:spacing w:after="0" w:line="240" w:lineRule="auto"/>
      <w:ind w:left="851" w:hanging="851"/>
    </w:pPr>
  </w:style>
  <w:style w:type="paragraph" w:customStyle="1" w:styleId="Unnumberedboldheading">
    <w:name w:val="Unnumbered bold heading"/>
    <w:next w:val="NICEnormal"/>
    <w:link w:val="UnnumberedboldheadingChar"/>
    <w:rsid w:val="00205FBE"/>
    <w:pPr>
      <w:keepNext/>
      <w:widowControl w:val="0"/>
      <w:spacing w:after="120"/>
    </w:pPr>
    <w:rPr>
      <w:rFonts w:ascii="Arial" w:hAnsi="Arial"/>
      <w:b/>
      <w:sz w:val="24"/>
      <w:szCs w:val="24"/>
      <w:lang w:val="en-US" w:eastAsia="en-US"/>
    </w:rPr>
  </w:style>
  <w:style w:type="paragraph" w:customStyle="1" w:styleId="Introtext">
    <w:name w:val="Intro text"/>
    <w:basedOn w:val="NICEnormalsinglespacing"/>
    <w:rsid w:val="00205FB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205FBE"/>
    <w:pPr>
      <w:spacing w:line="360" w:lineRule="auto"/>
    </w:pPr>
    <w:rPr>
      <w:rFonts w:cs="Arial"/>
      <w:sz w:val="32"/>
      <w:szCs w:val="24"/>
    </w:rPr>
  </w:style>
  <w:style w:type="character" w:customStyle="1" w:styleId="Numberedheading1CharChar">
    <w:name w:val="Numbered heading 1 Char Char"/>
    <w:basedOn w:val="Heading1Char"/>
    <w:link w:val="Numberedheading1"/>
    <w:rsid w:val="00205FBE"/>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205FBE"/>
    <w:pPr>
      <w:numPr>
        <w:ilvl w:val="1"/>
        <w:numId w:val="14"/>
      </w:numPr>
      <w:spacing w:line="360" w:lineRule="auto"/>
    </w:pPr>
    <w:rPr>
      <w:rFonts w:cs="Arial"/>
    </w:rPr>
  </w:style>
  <w:style w:type="character" w:customStyle="1" w:styleId="Numberedheading2Char">
    <w:name w:val="Numbered heading 2 Char"/>
    <w:basedOn w:val="Heading2Char"/>
    <w:link w:val="Numberedheading2"/>
    <w:rsid w:val="00205FBE"/>
    <w:rPr>
      <w:rFonts w:ascii="Arial" w:hAnsi="Arial" w:cs="Arial"/>
      <w:b/>
      <w:bCs/>
      <w:i/>
      <w:iCs/>
      <w:sz w:val="28"/>
      <w:szCs w:val="28"/>
      <w:lang w:eastAsia="en-US"/>
    </w:rPr>
  </w:style>
  <w:style w:type="paragraph" w:customStyle="1" w:styleId="Numberedheading3">
    <w:name w:val="Numbered heading 3"/>
    <w:basedOn w:val="Heading3"/>
    <w:next w:val="NICEnormal"/>
    <w:rsid w:val="00205FBE"/>
    <w:pPr>
      <w:numPr>
        <w:ilvl w:val="2"/>
        <w:numId w:val="14"/>
      </w:numPr>
      <w:spacing w:line="360" w:lineRule="auto"/>
    </w:pPr>
    <w:rPr>
      <w:rFonts w:cs="Arial"/>
      <w:sz w:val="26"/>
      <w:szCs w:val="24"/>
    </w:rPr>
  </w:style>
  <w:style w:type="paragraph" w:customStyle="1" w:styleId="Bulletindent2">
    <w:name w:val="Bullet indent 2"/>
    <w:basedOn w:val="NICEnormal"/>
    <w:rsid w:val="00205FBE"/>
    <w:pPr>
      <w:numPr>
        <w:ilvl w:val="1"/>
        <w:numId w:val="8"/>
      </w:numPr>
      <w:spacing w:after="0"/>
    </w:pPr>
  </w:style>
  <w:style w:type="paragraph" w:customStyle="1" w:styleId="Bulletleft1">
    <w:name w:val="Bullet left 1"/>
    <w:basedOn w:val="NICEnormal"/>
    <w:link w:val="Bulletleft1Char"/>
    <w:qFormat/>
    <w:rsid w:val="00205FBE"/>
    <w:pPr>
      <w:numPr>
        <w:numId w:val="10"/>
      </w:numPr>
      <w:spacing w:after="0"/>
    </w:pPr>
  </w:style>
  <w:style w:type="character" w:customStyle="1" w:styleId="Bulletleft1Char">
    <w:name w:val="Bullet left 1 Char"/>
    <w:basedOn w:val="DefaultParagraphFont"/>
    <w:link w:val="Bulletleft1"/>
    <w:rsid w:val="00205FBE"/>
    <w:rPr>
      <w:rFonts w:ascii="Arial" w:hAnsi="Arial"/>
      <w:sz w:val="24"/>
      <w:szCs w:val="24"/>
      <w:lang w:val="en-US" w:eastAsia="en-US"/>
    </w:rPr>
  </w:style>
  <w:style w:type="paragraph" w:customStyle="1" w:styleId="Bulletleft2">
    <w:name w:val="Bullet left 2"/>
    <w:basedOn w:val="NICEnormal"/>
    <w:uiPriority w:val="99"/>
    <w:rsid w:val="00205FBE"/>
    <w:pPr>
      <w:numPr>
        <w:ilvl w:val="1"/>
        <w:numId w:val="12"/>
      </w:numPr>
      <w:spacing w:after="0"/>
    </w:pPr>
  </w:style>
  <w:style w:type="paragraph" w:customStyle="1" w:styleId="Bulletleft3">
    <w:name w:val="Bullet left 3"/>
    <w:basedOn w:val="NICEnormal"/>
    <w:rsid w:val="00205FBE"/>
    <w:pPr>
      <w:numPr>
        <w:ilvl w:val="2"/>
        <w:numId w:val="13"/>
      </w:numPr>
      <w:spacing w:after="0"/>
    </w:pPr>
  </w:style>
  <w:style w:type="paragraph" w:customStyle="1" w:styleId="Bulletindent1">
    <w:name w:val="Bullet indent 1"/>
    <w:basedOn w:val="NICEnormal"/>
    <w:link w:val="Bulletindent1Char"/>
    <w:rsid w:val="00205FBE"/>
    <w:pPr>
      <w:numPr>
        <w:numId w:val="6"/>
      </w:numPr>
      <w:spacing w:after="0"/>
    </w:pPr>
  </w:style>
  <w:style w:type="paragraph" w:customStyle="1" w:styleId="Bulletindent3">
    <w:name w:val="Bullet indent 3"/>
    <w:basedOn w:val="NICEnormal"/>
    <w:rsid w:val="00205FBE"/>
    <w:pPr>
      <w:numPr>
        <w:ilvl w:val="2"/>
        <w:numId w:val="9"/>
      </w:numPr>
      <w:spacing w:after="0"/>
    </w:pPr>
  </w:style>
  <w:style w:type="paragraph" w:customStyle="1" w:styleId="Bulletleft1last">
    <w:name w:val="Bullet left 1 last"/>
    <w:basedOn w:val="NICEnormal"/>
    <w:link w:val="Bulletleft1lastChar"/>
    <w:qFormat/>
    <w:rsid w:val="00205FBE"/>
    <w:pPr>
      <w:numPr>
        <w:numId w:val="11"/>
      </w:numPr>
    </w:pPr>
    <w:rPr>
      <w:rFonts w:cs="Arial"/>
    </w:rPr>
  </w:style>
  <w:style w:type="paragraph" w:customStyle="1" w:styleId="boxedtext">
    <w:name w:val="boxed text"/>
    <w:basedOn w:val="NICEnormal"/>
    <w:rsid w:val="00205FBE"/>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basedOn w:val="DefaultParagraphFont"/>
    <w:rsid w:val="00205FBE"/>
    <w:rPr>
      <w:rFonts w:ascii="Arial" w:hAnsi="Arial"/>
      <w:sz w:val="24"/>
    </w:rPr>
  </w:style>
  <w:style w:type="paragraph" w:customStyle="1" w:styleId="Bulletindent1last">
    <w:name w:val="Bullet indent 1 last"/>
    <w:basedOn w:val="NICEnormal"/>
    <w:next w:val="NICEnormal"/>
    <w:link w:val="Bulletindent1lastChar"/>
    <w:rsid w:val="00205FBE"/>
    <w:pPr>
      <w:numPr>
        <w:numId w:val="7"/>
      </w:numPr>
    </w:pPr>
  </w:style>
  <w:style w:type="paragraph" w:customStyle="1" w:styleId="Tabletitle">
    <w:name w:val="Table title"/>
    <w:basedOn w:val="NICEnormal"/>
    <w:next w:val="NICEnormal"/>
    <w:rsid w:val="00205FBE"/>
    <w:pPr>
      <w:keepNext/>
      <w:spacing w:after="60" w:line="240" w:lineRule="auto"/>
    </w:pPr>
    <w:rPr>
      <w:b/>
    </w:rPr>
  </w:style>
  <w:style w:type="paragraph" w:customStyle="1" w:styleId="Tabletext">
    <w:name w:val="Table text"/>
    <w:basedOn w:val="NICEnormalsinglespacing"/>
    <w:rsid w:val="00205FBE"/>
    <w:pPr>
      <w:keepNext/>
    </w:pPr>
    <w:rPr>
      <w:sz w:val="22"/>
    </w:rPr>
  </w:style>
  <w:style w:type="paragraph" w:customStyle="1" w:styleId="Appendixlevel1">
    <w:name w:val="Appendix level 1"/>
    <w:basedOn w:val="NICEnormal"/>
    <w:autoRedefine/>
    <w:rsid w:val="00205FBE"/>
    <w:pPr>
      <w:numPr>
        <w:numId w:val="4"/>
      </w:numPr>
      <w:spacing w:before="240"/>
    </w:pPr>
  </w:style>
  <w:style w:type="paragraph" w:customStyle="1" w:styleId="Appendixlevel2">
    <w:name w:val="Appendix level 2"/>
    <w:basedOn w:val="NICEnormal"/>
    <w:rsid w:val="00205FBE"/>
    <w:pPr>
      <w:numPr>
        <w:numId w:val="5"/>
      </w:numPr>
      <w:spacing w:before="240"/>
    </w:pPr>
  </w:style>
  <w:style w:type="paragraph" w:customStyle="1" w:styleId="Appendixreferences">
    <w:name w:val="Appendix references"/>
    <w:basedOn w:val="NICEnormal"/>
    <w:rsid w:val="00205FBE"/>
    <w:pPr>
      <w:tabs>
        <w:tab w:val="left" w:pos="567"/>
      </w:tabs>
      <w:spacing w:after="120" w:line="240" w:lineRule="auto"/>
      <w:ind w:left="567"/>
    </w:pPr>
  </w:style>
  <w:style w:type="character" w:styleId="Hyperlink">
    <w:name w:val="Hyperlink"/>
    <w:basedOn w:val="DefaultParagraphFont"/>
    <w:uiPriority w:val="99"/>
    <w:rsid w:val="00205FBE"/>
    <w:rPr>
      <w:color w:val="0000FF"/>
      <w:u w:val="single"/>
    </w:rPr>
  </w:style>
  <w:style w:type="character" w:styleId="CommentReference">
    <w:name w:val="annotation reference"/>
    <w:basedOn w:val="DefaultParagraphFont"/>
    <w:rsid w:val="00205FBE"/>
    <w:rPr>
      <w:sz w:val="16"/>
      <w:szCs w:val="16"/>
    </w:rPr>
  </w:style>
  <w:style w:type="paragraph" w:styleId="CommentText">
    <w:name w:val="annotation text"/>
    <w:basedOn w:val="Normal"/>
    <w:link w:val="CommentTextChar"/>
    <w:rsid w:val="00205FBE"/>
    <w:rPr>
      <w:sz w:val="20"/>
      <w:szCs w:val="20"/>
    </w:rPr>
  </w:style>
  <w:style w:type="character" w:customStyle="1" w:styleId="CommentTextChar">
    <w:name w:val="Comment Text Char"/>
    <w:basedOn w:val="DefaultParagraphFont"/>
    <w:link w:val="CommentText"/>
    <w:rsid w:val="00205FBE"/>
    <w:rPr>
      <w:lang w:eastAsia="en-US"/>
    </w:rPr>
  </w:style>
  <w:style w:type="paragraph" w:styleId="CommentSubject">
    <w:name w:val="annotation subject"/>
    <w:basedOn w:val="CommentText"/>
    <w:next w:val="CommentText"/>
    <w:link w:val="CommentSubjectChar"/>
    <w:semiHidden/>
    <w:rsid w:val="00205FBE"/>
    <w:rPr>
      <w:b/>
      <w:bCs/>
    </w:rPr>
  </w:style>
  <w:style w:type="character" w:customStyle="1" w:styleId="CommentSubjectChar">
    <w:name w:val="Comment Subject Char"/>
    <w:basedOn w:val="CommentTextChar"/>
    <w:link w:val="CommentSubject"/>
    <w:semiHidden/>
    <w:rsid w:val="00205FBE"/>
    <w:rPr>
      <w:b/>
      <w:bCs/>
      <w:lang w:eastAsia="en-US"/>
    </w:rPr>
  </w:style>
  <w:style w:type="character" w:styleId="FollowedHyperlink">
    <w:name w:val="FollowedHyperlink"/>
    <w:basedOn w:val="DefaultParagraphFont"/>
    <w:uiPriority w:val="99"/>
    <w:rsid w:val="00205FBE"/>
    <w:rPr>
      <w:color w:val="800080"/>
      <w:u w:val="single"/>
    </w:rPr>
  </w:style>
  <w:style w:type="paragraph" w:styleId="DocumentMap">
    <w:name w:val="Document Map"/>
    <w:basedOn w:val="Normal"/>
    <w:link w:val="DocumentMapChar"/>
    <w:semiHidden/>
    <w:rsid w:val="00205F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05FBE"/>
    <w:rPr>
      <w:rFonts w:ascii="Tahoma" w:hAnsi="Tahoma" w:cs="Tahoma"/>
      <w:shd w:val="clear" w:color="auto" w:fill="000080"/>
      <w:lang w:eastAsia="en-US"/>
    </w:rPr>
  </w:style>
  <w:style w:type="paragraph" w:styleId="Revision">
    <w:name w:val="Revision"/>
    <w:hidden/>
    <w:uiPriority w:val="99"/>
    <w:semiHidden/>
    <w:rsid w:val="00205FBE"/>
    <w:rPr>
      <w:sz w:val="24"/>
      <w:szCs w:val="24"/>
      <w:lang w:eastAsia="en-US"/>
    </w:rPr>
  </w:style>
  <w:style w:type="paragraph" w:customStyle="1" w:styleId="TableText0">
    <w:name w:val="Table Text"/>
    <w:basedOn w:val="NICEnormal"/>
    <w:link w:val="TableTextChar"/>
    <w:qFormat/>
    <w:rsid w:val="00205FBE"/>
    <w:pPr>
      <w:spacing w:after="120" w:line="240" w:lineRule="auto"/>
    </w:pPr>
    <w:rPr>
      <w:b/>
      <w:sz w:val="20"/>
      <w:szCs w:val="20"/>
      <w:lang w:val="en-GB"/>
    </w:rPr>
  </w:style>
  <w:style w:type="character" w:customStyle="1" w:styleId="TableTextChar">
    <w:name w:val="Table Text Char"/>
    <w:basedOn w:val="NICEnormalChar"/>
    <w:link w:val="TableText0"/>
    <w:rsid w:val="00205FBE"/>
    <w:rPr>
      <w:rFonts w:ascii="Arial" w:hAnsi="Arial"/>
      <w:b/>
      <w:sz w:val="24"/>
      <w:szCs w:val="24"/>
      <w:lang w:val="en-US" w:eastAsia="en-US" w:bidi="ar-SA"/>
    </w:rPr>
  </w:style>
  <w:style w:type="paragraph" w:styleId="FootnoteText">
    <w:name w:val="footnote text"/>
    <w:basedOn w:val="Normal"/>
    <w:link w:val="FootnoteTextChar"/>
    <w:rsid w:val="00205FBE"/>
    <w:rPr>
      <w:sz w:val="20"/>
      <w:szCs w:val="20"/>
    </w:rPr>
  </w:style>
  <w:style w:type="character" w:customStyle="1" w:styleId="FootnoteTextChar">
    <w:name w:val="Footnote Text Char"/>
    <w:basedOn w:val="DefaultParagraphFont"/>
    <w:link w:val="FootnoteText"/>
    <w:rsid w:val="00205FBE"/>
    <w:rPr>
      <w:lang w:eastAsia="en-US"/>
    </w:rPr>
  </w:style>
  <w:style w:type="character" w:styleId="FootnoteReference">
    <w:name w:val="footnote reference"/>
    <w:basedOn w:val="DefaultParagraphFont"/>
    <w:rsid w:val="00205FBE"/>
    <w:rPr>
      <w:vertAlign w:val="superscript"/>
    </w:rPr>
  </w:style>
  <w:style w:type="paragraph" w:customStyle="1" w:styleId="NICEnormalsinglespacing">
    <w:name w:val="NICE normal single spacing"/>
    <w:basedOn w:val="NICEnormal"/>
    <w:rsid w:val="00205FBE"/>
    <w:pPr>
      <w:spacing w:after="60" w:line="240" w:lineRule="auto"/>
    </w:pPr>
  </w:style>
  <w:style w:type="paragraph" w:customStyle="1" w:styleId="NICEnormalindented">
    <w:name w:val="NICE normal indented"/>
    <w:basedOn w:val="NICEnormal"/>
    <w:rsid w:val="00205FBE"/>
    <w:pPr>
      <w:tabs>
        <w:tab w:val="left" w:pos="1134"/>
      </w:tabs>
      <w:ind w:left="1134"/>
    </w:pPr>
  </w:style>
  <w:style w:type="paragraph" w:customStyle="1" w:styleId="Numberedlevel2text">
    <w:name w:val="Numbered level 2 text"/>
    <w:basedOn w:val="Numberedheading2"/>
    <w:link w:val="Numberedlevel2textChar"/>
    <w:rsid w:val="00205FBE"/>
  </w:style>
  <w:style w:type="paragraph" w:customStyle="1" w:styleId="Numberedlevel3text">
    <w:name w:val="Numbered level 3 text"/>
    <w:basedOn w:val="Numberedheading3"/>
    <w:rsid w:val="00205FBE"/>
    <w:pPr>
      <w:numPr>
        <w:ilvl w:val="0"/>
        <w:numId w:val="0"/>
      </w:numPr>
      <w:spacing w:before="0" w:after="240"/>
    </w:pPr>
    <w:rPr>
      <w:b w:val="0"/>
      <w:sz w:val="24"/>
    </w:rPr>
  </w:style>
  <w:style w:type="paragraph" w:customStyle="1" w:styleId="Numberedlevel4text">
    <w:name w:val="Numbered level 4 text"/>
    <w:basedOn w:val="NICEnormal"/>
    <w:next w:val="NICEnormal"/>
    <w:rsid w:val="00205FBE"/>
    <w:pPr>
      <w:numPr>
        <w:ilvl w:val="3"/>
        <w:numId w:val="14"/>
      </w:numPr>
    </w:pPr>
  </w:style>
  <w:style w:type="paragraph" w:customStyle="1" w:styleId="References">
    <w:name w:val="References"/>
    <w:basedOn w:val="NICEnormalsinglespacing"/>
    <w:rsid w:val="00205FBE"/>
    <w:pPr>
      <w:numPr>
        <w:numId w:val="15"/>
      </w:numPr>
      <w:spacing w:after="120"/>
    </w:pPr>
  </w:style>
  <w:style w:type="paragraph" w:customStyle="1" w:styleId="Section2paragraphs">
    <w:name w:val="Section 2 paragraphs"/>
    <w:basedOn w:val="NICEnormal"/>
    <w:rsid w:val="00205FBE"/>
    <w:pPr>
      <w:numPr>
        <w:numId w:val="16"/>
      </w:numPr>
    </w:pPr>
  </w:style>
  <w:style w:type="paragraph" w:customStyle="1" w:styleId="Section3paragraphs">
    <w:name w:val="Section 3 paragraphs"/>
    <w:basedOn w:val="NICEnormal"/>
    <w:rsid w:val="00205FBE"/>
    <w:pPr>
      <w:numPr>
        <w:numId w:val="17"/>
      </w:numPr>
    </w:pPr>
  </w:style>
  <w:style w:type="paragraph" w:customStyle="1" w:styleId="Section411paragraphs">
    <w:name w:val="Section 4.1.1 paragraphs"/>
    <w:basedOn w:val="NICEnormal"/>
    <w:rsid w:val="00205FBE"/>
    <w:pPr>
      <w:numPr>
        <w:numId w:val="18"/>
      </w:numPr>
    </w:pPr>
  </w:style>
  <w:style w:type="paragraph" w:customStyle="1" w:styleId="Section412paragraphs">
    <w:name w:val="Section 4.1.2 paragraphs"/>
    <w:basedOn w:val="NICEnormal"/>
    <w:rsid w:val="00205FBE"/>
    <w:pPr>
      <w:numPr>
        <w:numId w:val="19"/>
      </w:numPr>
    </w:pPr>
  </w:style>
  <w:style w:type="paragraph" w:customStyle="1" w:styleId="Section42paragraphs">
    <w:name w:val="Section 4.2 paragraphs"/>
    <w:basedOn w:val="NICEnormal"/>
    <w:rsid w:val="00205FBE"/>
    <w:pPr>
      <w:numPr>
        <w:numId w:val="20"/>
      </w:numPr>
    </w:pPr>
  </w:style>
  <w:style w:type="paragraph" w:customStyle="1" w:styleId="Section43paragraphs">
    <w:name w:val="Section 4.3 paragraphs"/>
    <w:basedOn w:val="NICEnormal"/>
    <w:rsid w:val="00205FBE"/>
    <w:pPr>
      <w:numPr>
        <w:numId w:val="21"/>
      </w:numPr>
    </w:pPr>
  </w:style>
  <w:style w:type="paragraph" w:customStyle="1" w:styleId="TabletextIPoverviewevidence">
    <w:name w:val="Table text IP overview evidence"/>
    <w:basedOn w:val="Tabletext"/>
    <w:rsid w:val="00205FBE"/>
    <w:rPr>
      <w:sz w:val="18"/>
    </w:rPr>
  </w:style>
  <w:style w:type="paragraph" w:customStyle="1" w:styleId="Title16ptleft">
    <w:name w:val="Title 16 pt left"/>
    <w:basedOn w:val="Title16pt"/>
    <w:rsid w:val="00205FBE"/>
    <w:pPr>
      <w:jc w:val="left"/>
    </w:pPr>
  </w:style>
  <w:style w:type="paragraph" w:customStyle="1" w:styleId="Unnumbereditalicheading">
    <w:name w:val="Unnumbered italic heading"/>
    <w:next w:val="NICEnormal"/>
    <w:rsid w:val="00205FBE"/>
    <w:pPr>
      <w:keepNext/>
      <w:widowControl w:val="0"/>
      <w:spacing w:after="120"/>
    </w:pPr>
    <w:rPr>
      <w:rFonts w:ascii="Arial" w:hAnsi="Arial"/>
      <w:i/>
      <w:sz w:val="24"/>
      <w:szCs w:val="24"/>
      <w:lang w:val="en-US" w:eastAsia="en-US"/>
    </w:rPr>
  </w:style>
  <w:style w:type="character" w:customStyle="1" w:styleId="Numberedlevel2textChar">
    <w:name w:val="Numbered level 2 text Char"/>
    <w:basedOn w:val="Numberedheading2Char"/>
    <w:link w:val="Numberedlevel2text"/>
    <w:rsid w:val="00205FBE"/>
    <w:rPr>
      <w:rFonts w:ascii="Arial" w:hAnsi="Arial" w:cs="Arial"/>
      <w:b/>
      <w:bCs/>
      <w:i/>
      <w:iCs/>
      <w:sz w:val="28"/>
      <w:szCs w:val="28"/>
      <w:lang w:eastAsia="en-US"/>
    </w:rPr>
  </w:style>
  <w:style w:type="character" w:customStyle="1" w:styleId="Bulletindent1Char">
    <w:name w:val="Bullet indent 1 Char"/>
    <w:basedOn w:val="DefaultParagraphFont"/>
    <w:link w:val="Bulletindent1"/>
    <w:rsid w:val="00205FBE"/>
    <w:rPr>
      <w:rFonts w:ascii="Arial" w:hAnsi="Arial"/>
      <w:sz w:val="24"/>
      <w:szCs w:val="24"/>
      <w:lang w:val="en-US" w:eastAsia="en-US"/>
    </w:rPr>
  </w:style>
  <w:style w:type="character" w:customStyle="1" w:styleId="Bulletindent1lastChar">
    <w:name w:val="Bullet indent 1 last Char"/>
    <w:basedOn w:val="NICEnormalChar"/>
    <w:link w:val="Bulletindent1last"/>
    <w:rsid w:val="00205FBE"/>
    <w:rPr>
      <w:rFonts w:ascii="Arial" w:hAnsi="Arial"/>
      <w:sz w:val="24"/>
      <w:szCs w:val="24"/>
      <w:lang w:val="en-US" w:eastAsia="en-US" w:bidi="ar-SA"/>
    </w:rPr>
  </w:style>
  <w:style w:type="character" w:customStyle="1" w:styleId="UnnumberedboldheadingChar">
    <w:name w:val="Unnumbered bold heading Char"/>
    <w:basedOn w:val="DefaultParagraphFont"/>
    <w:link w:val="Unnumberedboldheading"/>
    <w:rsid w:val="00205FBE"/>
    <w:rPr>
      <w:rFonts w:ascii="Arial" w:hAnsi="Arial"/>
      <w:b/>
      <w:sz w:val="24"/>
      <w:szCs w:val="24"/>
      <w:lang w:val="en-US" w:eastAsia="en-US" w:bidi="ar-SA"/>
    </w:rPr>
  </w:style>
  <w:style w:type="character" w:styleId="EndnoteReference">
    <w:name w:val="endnote reference"/>
    <w:basedOn w:val="DefaultParagraphFont"/>
    <w:rsid w:val="00205FBE"/>
    <w:rPr>
      <w:vertAlign w:val="superscript"/>
    </w:rPr>
  </w:style>
  <w:style w:type="paragraph" w:styleId="Bibliography">
    <w:name w:val="Bibliography"/>
    <w:basedOn w:val="Normal"/>
    <w:next w:val="Normal"/>
    <w:uiPriority w:val="37"/>
    <w:semiHidden/>
    <w:unhideWhenUsed/>
    <w:rsid w:val="00205FBE"/>
  </w:style>
  <w:style w:type="paragraph" w:styleId="Quote">
    <w:name w:val="Quote"/>
    <w:basedOn w:val="NICEnormal"/>
    <w:next w:val="Normal"/>
    <w:link w:val="QuoteChar"/>
    <w:uiPriority w:val="29"/>
    <w:qFormat/>
    <w:rsid w:val="00205FBE"/>
    <w:pPr>
      <w:ind w:left="709" w:right="1371"/>
    </w:pPr>
    <w:rPr>
      <w:rFonts w:cs="Arial"/>
    </w:rPr>
  </w:style>
  <w:style w:type="character" w:customStyle="1" w:styleId="QuoteChar">
    <w:name w:val="Quote Char"/>
    <w:basedOn w:val="DefaultParagraphFont"/>
    <w:link w:val="Quote"/>
    <w:uiPriority w:val="29"/>
    <w:rsid w:val="00205FBE"/>
    <w:rPr>
      <w:rFonts w:ascii="Arial" w:hAnsi="Arial" w:cs="Arial"/>
      <w:sz w:val="24"/>
      <w:szCs w:val="24"/>
      <w:lang w:val="en-US" w:eastAsia="en-US"/>
    </w:rPr>
  </w:style>
  <w:style w:type="paragraph" w:styleId="PlainText">
    <w:name w:val="Plain Text"/>
    <w:basedOn w:val="Normal"/>
    <w:link w:val="PlainTextChar"/>
    <w:uiPriority w:val="99"/>
    <w:unhideWhenUsed/>
    <w:rsid w:val="00205FBE"/>
    <w:rPr>
      <w:rFonts w:ascii="Arial" w:eastAsia="Calibri" w:hAnsi="Arial" w:cs="Arial"/>
      <w:color w:val="000000"/>
      <w:sz w:val="22"/>
      <w:szCs w:val="22"/>
    </w:rPr>
  </w:style>
  <w:style w:type="character" w:customStyle="1" w:styleId="PlainTextChar">
    <w:name w:val="Plain Text Char"/>
    <w:basedOn w:val="DefaultParagraphFont"/>
    <w:link w:val="PlainText"/>
    <w:uiPriority w:val="99"/>
    <w:rsid w:val="00205FBE"/>
    <w:rPr>
      <w:rFonts w:ascii="Arial" w:eastAsia="Calibri" w:hAnsi="Arial" w:cs="Arial"/>
      <w:color w:val="000000"/>
      <w:sz w:val="22"/>
      <w:szCs w:val="22"/>
      <w:lang w:eastAsia="en-US"/>
    </w:rPr>
  </w:style>
  <w:style w:type="table" w:styleId="TableColumns1">
    <w:name w:val="Table Columns 1"/>
    <w:basedOn w:val="TableNormal"/>
    <w:rsid w:val="00205F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05F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3Deffects2">
    <w:name w:val="Table 3D effects 2"/>
    <w:basedOn w:val="TableNormal"/>
    <w:rsid w:val="00205F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AC7C93"/>
    <w:pPr>
      <w:autoSpaceDE w:val="0"/>
      <w:autoSpaceDN w:val="0"/>
      <w:adjustRightInd w:val="0"/>
    </w:pPr>
    <w:rPr>
      <w:rFonts w:ascii="Frutiger LT Std 45 Light" w:hAnsi="Frutiger LT Std 45 Light" w:cs="Frutiger LT Std 45 Light"/>
      <w:color w:val="000000"/>
      <w:sz w:val="24"/>
      <w:szCs w:val="24"/>
    </w:rPr>
  </w:style>
  <w:style w:type="character" w:styleId="PlaceholderText">
    <w:name w:val="Placeholder Text"/>
    <w:basedOn w:val="DefaultParagraphFont"/>
    <w:uiPriority w:val="99"/>
    <w:semiHidden/>
    <w:rsid w:val="009019A9"/>
    <w:rPr>
      <w:color w:val="808080"/>
    </w:rPr>
  </w:style>
  <w:style w:type="character" w:customStyle="1" w:styleId="paragraph-number">
    <w:name w:val="paragraph-number"/>
    <w:basedOn w:val="DefaultParagraphFont"/>
    <w:rsid w:val="00486953"/>
  </w:style>
  <w:style w:type="character" w:styleId="Strong">
    <w:name w:val="Strong"/>
    <w:basedOn w:val="DefaultParagraphFont"/>
    <w:uiPriority w:val="22"/>
    <w:qFormat/>
    <w:rsid w:val="00165B01"/>
    <w:rPr>
      <w:b/>
      <w:bCs/>
    </w:rPr>
  </w:style>
  <w:style w:type="paragraph" w:styleId="NormalWeb">
    <w:name w:val="Normal (Web)"/>
    <w:basedOn w:val="Normal"/>
    <w:uiPriority w:val="99"/>
    <w:unhideWhenUsed/>
    <w:rsid w:val="0026108E"/>
    <w:pPr>
      <w:spacing w:before="100" w:beforeAutospacing="1" w:after="100" w:afterAutospacing="1"/>
    </w:pPr>
    <w:rPr>
      <w:lang w:eastAsia="en-GB"/>
    </w:rPr>
  </w:style>
  <w:style w:type="paragraph" w:customStyle="1" w:styleId="Tablecellheading">
    <w:name w:val="Table cell heading"/>
    <w:basedOn w:val="Tabletext"/>
    <w:rsid w:val="00ED6AAF"/>
    <w:pPr>
      <w:spacing w:before="60" w:after="120"/>
    </w:pPr>
    <w:rPr>
      <w:b/>
      <w:bCs/>
    </w:rPr>
  </w:style>
  <w:style w:type="numbering" w:customStyle="1" w:styleId="Tablebulletleft">
    <w:name w:val="Table bullet left"/>
    <w:basedOn w:val="NoList"/>
    <w:rsid w:val="00ED6AAF"/>
    <w:pPr>
      <w:numPr>
        <w:numId w:val="23"/>
      </w:numPr>
    </w:pPr>
  </w:style>
  <w:style w:type="numbering" w:customStyle="1" w:styleId="Tablebulletindented">
    <w:name w:val="Table bullet indented"/>
    <w:basedOn w:val="NoList"/>
    <w:rsid w:val="00ED6AAF"/>
    <w:pPr>
      <w:numPr>
        <w:numId w:val="24"/>
      </w:numPr>
    </w:pPr>
  </w:style>
  <w:style w:type="paragraph" w:customStyle="1" w:styleId="Tablenumberedlist">
    <w:name w:val="Table numbered list"/>
    <w:basedOn w:val="ListNumber"/>
    <w:rsid w:val="00ED6AAF"/>
    <w:pPr>
      <w:spacing w:before="60"/>
    </w:pPr>
    <w:rPr>
      <w:b/>
      <w:bCs/>
      <w:sz w:val="22"/>
      <w:szCs w:val="20"/>
    </w:rPr>
  </w:style>
  <w:style w:type="paragraph" w:styleId="ListNumber">
    <w:name w:val="List Number"/>
    <w:basedOn w:val="Normal"/>
    <w:semiHidden/>
    <w:rsid w:val="00ED6AAF"/>
    <w:pPr>
      <w:numPr>
        <w:numId w:val="22"/>
      </w:numPr>
      <w:contextualSpacing/>
    </w:pPr>
    <w:rPr>
      <w:rFonts w:ascii="Arial" w:hAnsi="Arial" w:cs="Arial"/>
      <w:spacing w:val="-3"/>
    </w:rPr>
  </w:style>
  <w:style w:type="numbering" w:customStyle="1" w:styleId="Tablebullet">
    <w:name w:val="Table bullet"/>
    <w:basedOn w:val="NoList"/>
    <w:rsid w:val="00ED6AAF"/>
    <w:pPr>
      <w:numPr>
        <w:numId w:val="25"/>
      </w:numPr>
    </w:pPr>
  </w:style>
  <w:style w:type="paragraph" w:styleId="ListParagraph">
    <w:name w:val="List Paragraph"/>
    <w:basedOn w:val="Normal"/>
    <w:uiPriority w:val="34"/>
    <w:qFormat/>
    <w:rsid w:val="00844032"/>
    <w:pPr>
      <w:ind w:left="720"/>
      <w:contextualSpacing/>
    </w:pPr>
  </w:style>
  <w:style w:type="paragraph" w:customStyle="1" w:styleId="font5">
    <w:name w:val="font5"/>
    <w:basedOn w:val="Normal"/>
    <w:rsid w:val="00015441"/>
    <w:pPr>
      <w:spacing w:before="100" w:beforeAutospacing="1" w:after="100" w:afterAutospacing="1"/>
    </w:pPr>
    <w:rPr>
      <w:rFonts w:ascii="Arial" w:hAnsi="Arial" w:cs="Arial"/>
      <w:b/>
      <w:bCs/>
      <w:color w:val="000000"/>
      <w:sz w:val="18"/>
      <w:szCs w:val="18"/>
      <w:lang w:eastAsia="en-GB"/>
    </w:rPr>
  </w:style>
  <w:style w:type="paragraph" w:customStyle="1" w:styleId="font6">
    <w:name w:val="font6"/>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7">
    <w:name w:val="font7"/>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8">
    <w:name w:val="font8"/>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9">
    <w:name w:val="font9"/>
    <w:basedOn w:val="Normal"/>
    <w:rsid w:val="00015441"/>
    <w:pPr>
      <w:spacing w:before="100" w:beforeAutospacing="1" w:after="100" w:afterAutospacing="1"/>
    </w:pPr>
    <w:rPr>
      <w:rFonts w:ascii="Arial" w:hAnsi="Arial" w:cs="Arial"/>
      <w:color w:val="FF0000"/>
      <w:sz w:val="18"/>
      <w:szCs w:val="18"/>
      <w:lang w:eastAsia="en-GB"/>
    </w:rPr>
  </w:style>
  <w:style w:type="paragraph" w:customStyle="1" w:styleId="font10">
    <w:name w:val="font10"/>
    <w:basedOn w:val="Normal"/>
    <w:rsid w:val="00015441"/>
    <w:pPr>
      <w:spacing w:before="100" w:beforeAutospacing="1" w:after="100" w:afterAutospacing="1"/>
    </w:pPr>
    <w:rPr>
      <w:rFonts w:ascii="Arial" w:hAnsi="Arial" w:cs="Arial"/>
      <w:color w:val="4F4F50"/>
      <w:sz w:val="18"/>
      <w:szCs w:val="18"/>
      <w:lang w:eastAsia="en-GB"/>
    </w:rPr>
  </w:style>
  <w:style w:type="paragraph" w:customStyle="1" w:styleId="xl65">
    <w:name w:val="xl65"/>
    <w:basedOn w:val="Normal"/>
    <w:rsid w:val="00015441"/>
    <w:pPr>
      <w:pBdr>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6">
    <w:name w:val="xl66"/>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7">
    <w:name w:val="xl67"/>
    <w:basedOn w:val="Normal"/>
    <w:rsid w:val="00015441"/>
    <w:pPr>
      <w:pBdr>
        <w:right w:val="single" w:sz="8" w:space="0" w:color="999999"/>
      </w:pBdr>
      <w:spacing w:before="100" w:beforeAutospacing="1" w:after="100" w:afterAutospacing="1"/>
      <w:textAlignment w:val="center"/>
    </w:pPr>
    <w:rPr>
      <w:color w:val="0000FF"/>
      <w:u w:val="single"/>
      <w:lang w:eastAsia="en-GB"/>
    </w:rPr>
  </w:style>
  <w:style w:type="paragraph" w:customStyle="1" w:styleId="xl68">
    <w:name w:val="xl68"/>
    <w:basedOn w:val="Normal"/>
    <w:rsid w:val="00015441"/>
    <w:pPr>
      <w:pBdr>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69">
    <w:name w:val="xl69"/>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0">
    <w:name w:val="xl70"/>
    <w:basedOn w:val="Normal"/>
    <w:rsid w:val="00015441"/>
    <w:pPr>
      <w:pBdr>
        <w:bottom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xl71">
    <w:name w:val="xl71"/>
    <w:basedOn w:val="Normal"/>
    <w:rsid w:val="00015441"/>
    <w:pPr>
      <w:pBdr>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2">
    <w:name w:val="xl72"/>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3">
    <w:name w:val="xl73"/>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4">
    <w:name w:val="xl74"/>
    <w:basedOn w:val="Normal"/>
    <w:rsid w:val="00015441"/>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5">
    <w:name w:val="xl75"/>
    <w:basedOn w:val="Normal"/>
    <w:rsid w:val="00015441"/>
    <w:pPr>
      <w:pBdr>
        <w:top w:val="single" w:sz="8" w:space="0" w:color="999999"/>
        <w:left w:val="single" w:sz="8" w:space="0" w:color="999999"/>
        <w:right w:val="single" w:sz="8" w:space="0" w:color="999999"/>
      </w:pBdr>
      <w:spacing w:before="100" w:beforeAutospacing="1" w:after="100" w:afterAutospacing="1"/>
      <w:jc w:val="center"/>
    </w:pPr>
    <w:rPr>
      <w:lang w:eastAsia="en-GB"/>
    </w:rPr>
  </w:style>
  <w:style w:type="paragraph" w:customStyle="1" w:styleId="xl76">
    <w:name w:val="xl76"/>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7">
    <w:name w:val="xl77"/>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8">
    <w:name w:val="xl78"/>
    <w:basedOn w:val="Normal"/>
    <w:rsid w:val="00015441"/>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9">
    <w:name w:val="xl79"/>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font11">
    <w:name w:val="font11"/>
    <w:basedOn w:val="Normal"/>
    <w:rsid w:val="00D428BC"/>
    <w:pPr>
      <w:spacing w:before="100" w:beforeAutospacing="1" w:after="100" w:afterAutospacing="1"/>
    </w:pPr>
    <w:rPr>
      <w:rFonts w:ascii="Arial" w:hAnsi="Arial" w:cs="Arial"/>
      <w:i/>
      <w:iCs/>
      <w:color w:val="000000"/>
      <w:sz w:val="18"/>
      <w:szCs w:val="18"/>
      <w:u w:val="single"/>
      <w:lang w:eastAsia="en-GB"/>
    </w:rPr>
  </w:style>
  <w:style w:type="paragraph" w:customStyle="1" w:styleId="TableText1">
    <w:name w:val="Table Text 1"/>
    <w:basedOn w:val="Normal"/>
    <w:qFormat/>
    <w:rsid w:val="00972945"/>
    <w:rPr>
      <w:rFonts w:ascii="Arial" w:hAnsi="Arial"/>
      <w:sz w:val="22"/>
      <w:lang w:eastAsia="en-GB"/>
    </w:rPr>
  </w:style>
  <w:style w:type="paragraph" w:customStyle="1" w:styleId="tabletext2">
    <w:name w:val="table text"/>
    <w:basedOn w:val="Paragraphnonumbers"/>
    <w:link w:val="tabletextChar0"/>
    <w:qFormat/>
    <w:rsid w:val="00AE537D"/>
    <w:pPr>
      <w:spacing w:before="60" w:after="60" w:line="240" w:lineRule="auto"/>
    </w:pPr>
    <w:rPr>
      <w:lang w:eastAsia="en-GB"/>
    </w:rPr>
  </w:style>
  <w:style w:type="character" w:customStyle="1" w:styleId="tabletextChar0">
    <w:name w:val="table text Char"/>
    <w:basedOn w:val="DefaultParagraphFont"/>
    <w:link w:val="tabletext2"/>
    <w:rsid w:val="00AE537D"/>
    <w:rPr>
      <w:rFonts w:ascii="Arial" w:hAnsi="Arial"/>
      <w:sz w:val="24"/>
      <w:szCs w:val="24"/>
    </w:rPr>
  </w:style>
  <w:style w:type="character" w:styleId="UnresolvedMention">
    <w:name w:val="Unresolved Mention"/>
    <w:basedOn w:val="DefaultParagraphFont"/>
    <w:uiPriority w:val="99"/>
    <w:semiHidden/>
    <w:unhideWhenUsed/>
    <w:rsid w:val="00A264CE"/>
    <w:rPr>
      <w:color w:val="605E5C"/>
      <w:shd w:val="clear" w:color="auto" w:fill="E1DFDD"/>
    </w:rPr>
  </w:style>
  <w:style w:type="table" w:customStyle="1" w:styleId="TableGrid1">
    <w:name w:val="Table Grid1"/>
    <w:basedOn w:val="TableNormal"/>
    <w:next w:val="TableGrid"/>
    <w:rsid w:val="00F1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eft1lastChar">
    <w:name w:val="Bullet left 1 last Char"/>
    <w:basedOn w:val="DefaultParagraphFont"/>
    <w:link w:val="Bulletleft1last"/>
    <w:rsid w:val="00DB2EF6"/>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9851">
      <w:bodyDiv w:val="1"/>
      <w:marLeft w:val="0"/>
      <w:marRight w:val="0"/>
      <w:marTop w:val="0"/>
      <w:marBottom w:val="0"/>
      <w:divBdr>
        <w:top w:val="none" w:sz="0" w:space="0" w:color="auto"/>
        <w:left w:val="none" w:sz="0" w:space="0" w:color="auto"/>
        <w:bottom w:val="none" w:sz="0" w:space="0" w:color="auto"/>
        <w:right w:val="none" w:sz="0" w:space="0" w:color="auto"/>
      </w:divBdr>
    </w:div>
    <w:div w:id="174348339">
      <w:bodyDiv w:val="1"/>
      <w:marLeft w:val="0"/>
      <w:marRight w:val="0"/>
      <w:marTop w:val="0"/>
      <w:marBottom w:val="0"/>
      <w:divBdr>
        <w:top w:val="none" w:sz="0" w:space="0" w:color="auto"/>
        <w:left w:val="none" w:sz="0" w:space="0" w:color="auto"/>
        <w:bottom w:val="none" w:sz="0" w:space="0" w:color="auto"/>
        <w:right w:val="none" w:sz="0" w:space="0" w:color="auto"/>
      </w:divBdr>
    </w:div>
    <w:div w:id="205528960">
      <w:bodyDiv w:val="1"/>
      <w:marLeft w:val="0"/>
      <w:marRight w:val="0"/>
      <w:marTop w:val="0"/>
      <w:marBottom w:val="0"/>
      <w:divBdr>
        <w:top w:val="none" w:sz="0" w:space="0" w:color="auto"/>
        <w:left w:val="none" w:sz="0" w:space="0" w:color="auto"/>
        <w:bottom w:val="none" w:sz="0" w:space="0" w:color="auto"/>
        <w:right w:val="none" w:sz="0" w:space="0" w:color="auto"/>
      </w:divBdr>
    </w:div>
    <w:div w:id="298727565">
      <w:bodyDiv w:val="1"/>
      <w:marLeft w:val="0"/>
      <w:marRight w:val="0"/>
      <w:marTop w:val="0"/>
      <w:marBottom w:val="0"/>
      <w:divBdr>
        <w:top w:val="none" w:sz="0" w:space="0" w:color="auto"/>
        <w:left w:val="none" w:sz="0" w:space="0" w:color="auto"/>
        <w:bottom w:val="none" w:sz="0" w:space="0" w:color="auto"/>
        <w:right w:val="none" w:sz="0" w:space="0" w:color="auto"/>
      </w:divBdr>
    </w:div>
    <w:div w:id="319043095">
      <w:bodyDiv w:val="1"/>
      <w:marLeft w:val="0"/>
      <w:marRight w:val="0"/>
      <w:marTop w:val="0"/>
      <w:marBottom w:val="0"/>
      <w:divBdr>
        <w:top w:val="none" w:sz="0" w:space="0" w:color="auto"/>
        <w:left w:val="none" w:sz="0" w:space="0" w:color="auto"/>
        <w:bottom w:val="none" w:sz="0" w:space="0" w:color="auto"/>
        <w:right w:val="none" w:sz="0" w:space="0" w:color="auto"/>
      </w:divBdr>
    </w:div>
    <w:div w:id="409695098">
      <w:bodyDiv w:val="1"/>
      <w:marLeft w:val="0"/>
      <w:marRight w:val="0"/>
      <w:marTop w:val="0"/>
      <w:marBottom w:val="0"/>
      <w:divBdr>
        <w:top w:val="none" w:sz="0" w:space="0" w:color="auto"/>
        <w:left w:val="none" w:sz="0" w:space="0" w:color="auto"/>
        <w:bottom w:val="none" w:sz="0" w:space="0" w:color="auto"/>
        <w:right w:val="none" w:sz="0" w:space="0" w:color="auto"/>
      </w:divBdr>
    </w:div>
    <w:div w:id="419716537">
      <w:bodyDiv w:val="1"/>
      <w:marLeft w:val="0"/>
      <w:marRight w:val="0"/>
      <w:marTop w:val="0"/>
      <w:marBottom w:val="0"/>
      <w:divBdr>
        <w:top w:val="none" w:sz="0" w:space="0" w:color="auto"/>
        <w:left w:val="none" w:sz="0" w:space="0" w:color="auto"/>
        <w:bottom w:val="none" w:sz="0" w:space="0" w:color="auto"/>
        <w:right w:val="none" w:sz="0" w:space="0" w:color="auto"/>
      </w:divBdr>
      <w:divsChild>
        <w:div w:id="1094207654">
          <w:marLeft w:val="0"/>
          <w:marRight w:val="0"/>
          <w:marTop w:val="0"/>
          <w:marBottom w:val="0"/>
          <w:divBdr>
            <w:top w:val="none" w:sz="0" w:space="0" w:color="auto"/>
            <w:left w:val="none" w:sz="0" w:space="0" w:color="auto"/>
            <w:bottom w:val="none" w:sz="0" w:space="0" w:color="auto"/>
            <w:right w:val="none" w:sz="0" w:space="0" w:color="auto"/>
          </w:divBdr>
          <w:divsChild>
            <w:div w:id="1689330048">
              <w:marLeft w:val="0"/>
              <w:marRight w:val="0"/>
              <w:marTop w:val="0"/>
              <w:marBottom w:val="0"/>
              <w:divBdr>
                <w:top w:val="none" w:sz="0" w:space="0" w:color="auto"/>
                <w:left w:val="none" w:sz="0" w:space="0" w:color="auto"/>
                <w:bottom w:val="none" w:sz="0" w:space="0" w:color="auto"/>
                <w:right w:val="none" w:sz="0" w:space="0" w:color="auto"/>
              </w:divBdr>
              <w:divsChild>
                <w:div w:id="1361853220">
                  <w:marLeft w:val="0"/>
                  <w:marRight w:val="0"/>
                  <w:marTop w:val="0"/>
                  <w:marBottom w:val="0"/>
                  <w:divBdr>
                    <w:top w:val="none" w:sz="0" w:space="0" w:color="auto"/>
                    <w:left w:val="none" w:sz="0" w:space="0" w:color="auto"/>
                    <w:bottom w:val="none" w:sz="0" w:space="0" w:color="auto"/>
                    <w:right w:val="none" w:sz="0" w:space="0" w:color="auto"/>
                  </w:divBdr>
                  <w:divsChild>
                    <w:div w:id="1773470669">
                      <w:marLeft w:val="0"/>
                      <w:marRight w:val="0"/>
                      <w:marTop w:val="0"/>
                      <w:marBottom w:val="0"/>
                      <w:divBdr>
                        <w:top w:val="none" w:sz="0" w:space="0" w:color="auto"/>
                        <w:left w:val="none" w:sz="0" w:space="0" w:color="auto"/>
                        <w:bottom w:val="none" w:sz="0" w:space="0" w:color="auto"/>
                        <w:right w:val="none" w:sz="0" w:space="0" w:color="auto"/>
                      </w:divBdr>
                      <w:divsChild>
                        <w:div w:id="365985320">
                          <w:marLeft w:val="0"/>
                          <w:marRight w:val="0"/>
                          <w:marTop w:val="0"/>
                          <w:marBottom w:val="0"/>
                          <w:divBdr>
                            <w:top w:val="none" w:sz="0" w:space="0" w:color="auto"/>
                            <w:left w:val="none" w:sz="0" w:space="0" w:color="auto"/>
                            <w:bottom w:val="none" w:sz="0" w:space="0" w:color="auto"/>
                            <w:right w:val="none" w:sz="0" w:space="0" w:color="auto"/>
                          </w:divBdr>
                          <w:divsChild>
                            <w:div w:id="1098019578">
                              <w:marLeft w:val="0"/>
                              <w:marRight w:val="0"/>
                              <w:marTop w:val="0"/>
                              <w:marBottom w:val="0"/>
                              <w:divBdr>
                                <w:top w:val="none" w:sz="0" w:space="0" w:color="auto"/>
                                <w:left w:val="none" w:sz="0" w:space="0" w:color="auto"/>
                                <w:bottom w:val="none" w:sz="0" w:space="0" w:color="auto"/>
                                <w:right w:val="none" w:sz="0" w:space="0" w:color="auto"/>
                              </w:divBdr>
                              <w:divsChild>
                                <w:div w:id="989672440">
                                  <w:marLeft w:val="0"/>
                                  <w:marRight w:val="0"/>
                                  <w:marTop w:val="0"/>
                                  <w:marBottom w:val="0"/>
                                  <w:divBdr>
                                    <w:top w:val="none" w:sz="0" w:space="0" w:color="auto"/>
                                    <w:left w:val="none" w:sz="0" w:space="0" w:color="auto"/>
                                    <w:bottom w:val="none" w:sz="0" w:space="0" w:color="auto"/>
                                    <w:right w:val="none" w:sz="0" w:space="0" w:color="auto"/>
                                  </w:divBdr>
                                  <w:divsChild>
                                    <w:div w:id="1813251968">
                                      <w:marLeft w:val="0"/>
                                      <w:marRight w:val="0"/>
                                      <w:marTop w:val="0"/>
                                      <w:marBottom w:val="0"/>
                                      <w:divBdr>
                                        <w:top w:val="none" w:sz="0" w:space="0" w:color="auto"/>
                                        <w:left w:val="none" w:sz="0" w:space="0" w:color="auto"/>
                                        <w:bottom w:val="none" w:sz="0" w:space="0" w:color="auto"/>
                                        <w:right w:val="none" w:sz="0" w:space="0" w:color="auto"/>
                                      </w:divBdr>
                                      <w:divsChild>
                                        <w:div w:id="486557470">
                                          <w:marLeft w:val="0"/>
                                          <w:marRight w:val="0"/>
                                          <w:marTop w:val="0"/>
                                          <w:marBottom w:val="0"/>
                                          <w:divBdr>
                                            <w:top w:val="none" w:sz="0" w:space="0" w:color="auto"/>
                                            <w:left w:val="none" w:sz="0" w:space="0" w:color="auto"/>
                                            <w:bottom w:val="none" w:sz="0" w:space="0" w:color="auto"/>
                                            <w:right w:val="none" w:sz="0" w:space="0" w:color="auto"/>
                                          </w:divBdr>
                                          <w:divsChild>
                                            <w:div w:id="230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5441">
      <w:bodyDiv w:val="1"/>
      <w:marLeft w:val="0"/>
      <w:marRight w:val="0"/>
      <w:marTop w:val="0"/>
      <w:marBottom w:val="0"/>
      <w:divBdr>
        <w:top w:val="none" w:sz="0" w:space="0" w:color="auto"/>
        <w:left w:val="none" w:sz="0" w:space="0" w:color="auto"/>
        <w:bottom w:val="none" w:sz="0" w:space="0" w:color="auto"/>
        <w:right w:val="none" w:sz="0" w:space="0" w:color="auto"/>
      </w:divBdr>
    </w:div>
    <w:div w:id="521478344">
      <w:bodyDiv w:val="1"/>
      <w:marLeft w:val="0"/>
      <w:marRight w:val="0"/>
      <w:marTop w:val="0"/>
      <w:marBottom w:val="0"/>
      <w:divBdr>
        <w:top w:val="none" w:sz="0" w:space="0" w:color="auto"/>
        <w:left w:val="none" w:sz="0" w:space="0" w:color="auto"/>
        <w:bottom w:val="none" w:sz="0" w:space="0" w:color="auto"/>
        <w:right w:val="none" w:sz="0" w:space="0" w:color="auto"/>
      </w:divBdr>
    </w:div>
    <w:div w:id="566116610">
      <w:bodyDiv w:val="1"/>
      <w:marLeft w:val="0"/>
      <w:marRight w:val="0"/>
      <w:marTop w:val="0"/>
      <w:marBottom w:val="0"/>
      <w:divBdr>
        <w:top w:val="none" w:sz="0" w:space="0" w:color="auto"/>
        <w:left w:val="none" w:sz="0" w:space="0" w:color="auto"/>
        <w:bottom w:val="none" w:sz="0" w:space="0" w:color="auto"/>
        <w:right w:val="none" w:sz="0" w:space="0" w:color="auto"/>
      </w:divBdr>
    </w:div>
    <w:div w:id="599070079">
      <w:bodyDiv w:val="1"/>
      <w:marLeft w:val="0"/>
      <w:marRight w:val="0"/>
      <w:marTop w:val="0"/>
      <w:marBottom w:val="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sChild>
            <w:div w:id="269317559">
              <w:marLeft w:val="0"/>
              <w:marRight w:val="0"/>
              <w:marTop w:val="0"/>
              <w:marBottom w:val="0"/>
              <w:divBdr>
                <w:top w:val="none" w:sz="0" w:space="0" w:color="auto"/>
                <w:left w:val="none" w:sz="0" w:space="0" w:color="auto"/>
                <w:bottom w:val="none" w:sz="0" w:space="0" w:color="auto"/>
                <w:right w:val="none" w:sz="0" w:space="0" w:color="auto"/>
              </w:divBdr>
              <w:divsChild>
                <w:div w:id="1290355193">
                  <w:marLeft w:val="0"/>
                  <w:marRight w:val="0"/>
                  <w:marTop w:val="0"/>
                  <w:marBottom w:val="0"/>
                  <w:divBdr>
                    <w:top w:val="none" w:sz="0" w:space="0" w:color="auto"/>
                    <w:left w:val="none" w:sz="0" w:space="0" w:color="auto"/>
                    <w:bottom w:val="none" w:sz="0" w:space="0" w:color="auto"/>
                    <w:right w:val="none" w:sz="0" w:space="0" w:color="auto"/>
                  </w:divBdr>
                  <w:divsChild>
                    <w:div w:id="967903411">
                      <w:marLeft w:val="0"/>
                      <w:marRight w:val="0"/>
                      <w:marTop w:val="0"/>
                      <w:marBottom w:val="0"/>
                      <w:divBdr>
                        <w:top w:val="none" w:sz="0" w:space="0" w:color="auto"/>
                        <w:left w:val="none" w:sz="0" w:space="0" w:color="auto"/>
                        <w:bottom w:val="none" w:sz="0" w:space="0" w:color="auto"/>
                        <w:right w:val="none" w:sz="0" w:space="0" w:color="auto"/>
                      </w:divBdr>
                      <w:divsChild>
                        <w:div w:id="104202558">
                          <w:marLeft w:val="0"/>
                          <w:marRight w:val="0"/>
                          <w:marTop w:val="0"/>
                          <w:marBottom w:val="0"/>
                          <w:divBdr>
                            <w:top w:val="none" w:sz="0" w:space="0" w:color="auto"/>
                            <w:left w:val="none" w:sz="0" w:space="0" w:color="auto"/>
                            <w:bottom w:val="none" w:sz="0" w:space="0" w:color="auto"/>
                            <w:right w:val="none" w:sz="0" w:space="0" w:color="auto"/>
                          </w:divBdr>
                          <w:divsChild>
                            <w:div w:id="786512590">
                              <w:marLeft w:val="0"/>
                              <w:marRight w:val="0"/>
                              <w:marTop w:val="0"/>
                              <w:marBottom w:val="0"/>
                              <w:divBdr>
                                <w:top w:val="none" w:sz="0" w:space="0" w:color="auto"/>
                                <w:left w:val="none" w:sz="0" w:space="0" w:color="auto"/>
                                <w:bottom w:val="none" w:sz="0" w:space="0" w:color="auto"/>
                                <w:right w:val="none" w:sz="0" w:space="0" w:color="auto"/>
                              </w:divBdr>
                              <w:divsChild>
                                <w:div w:id="2037273687">
                                  <w:marLeft w:val="0"/>
                                  <w:marRight w:val="0"/>
                                  <w:marTop w:val="0"/>
                                  <w:marBottom w:val="0"/>
                                  <w:divBdr>
                                    <w:top w:val="none" w:sz="0" w:space="0" w:color="auto"/>
                                    <w:left w:val="none" w:sz="0" w:space="0" w:color="auto"/>
                                    <w:bottom w:val="none" w:sz="0" w:space="0" w:color="auto"/>
                                    <w:right w:val="none" w:sz="0" w:space="0" w:color="auto"/>
                                  </w:divBdr>
                                  <w:divsChild>
                                    <w:div w:id="1541815794">
                                      <w:marLeft w:val="0"/>
                                      <w:marRight w:val="0"/>
                                      <w:marTop w:val="0"/>
                                      <w:marBottom w:val="0"/>
                                      <w:divBdr>
                                        <w:top w:val="none" w:sz="0" w:space="0" w:color="auto"/>
                                        <w:left w:val="none" w:sz="0" w:space="0" w:color="auto"/>
                                        <w:bottom w:val="none" w:sz="0" w:space="0" w:color="auto"/>
                                        <w:right w:val="none" w:sz="0" w:space="0" w:color="auto"/>
                                      </w:divBdr>
                                      <w:divsChild>
                                        <w:div w:id="125633081">
                                          <w:marLeft w:val="0"/>
                                          <w:marRight w:val="0"/>
                                          <w:marTop w:val="0"/>
                                          <w:marBottom w:val="0"/>
                                          <w:divBdr>
                                            <w:top w:val="none" w:sz="0" w:space="0" w:color="auto"/>
                                            <w:left w:val="none" w:sz="0" w:space="0" w:color="auto"/>
                                            <w:bottom w:val="none" w:sz="0" w:space="0" w:color="auto"/>
                                            <w:right w:val="none" w:sz="0" w:space="0" w:color="auto"/>
                                          </w:divBdr>
                                          <w:divsChild>
                                            <w:div w:id="704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434956">
      <w:bodyDiv w:val="1"/>
      <w:marLeft w:val="0"/>
      <w:marRight w:val="0"/>
      <w:marTop w:val="0"/>
      <w:marBottom w:val="0"/>
      <w:divBdr>
        <w:top w:val="none" w:sz="0" w:space="0" w:color="auto"/>
        <w:left w:val="none" w:sz="0" w:space="0" w:color="auto"/>
        <w:bottom w:val="none" w:sz="0" w:space="0" w:color="auto"/>
        <w:right w:val="none" w:sz="0" w:space="0" w:color="auto"/>
      </w:divBdr>
    </w:div>
    <w:div w:id="655452165">
      <w:bodyDiv w:val="1"/>
      <w:marLeft w:val="0"/>
      <w:marRight w:val="0"/>
      <w:marTop w:val="0"/>
      <w:marBottom w:val="0"/>
      <w:divBdr>
        <w:top w:val="none" w:sz="0" w:space="0" w:color="auto"/>
        <w:left w:val="none" w:sz="0" w:space="0" w:color="auto"/>
        <w:bottom w:val="none" w:sz="0" w:space="0" w:color="auto"/>
        <w:right w:val="none" w:sz="0" w:space="0" w:color="auto"/>
      </w:divBdr>
    </w:div>
    <w:div w:id="766541289">
      <w:bodyDiv w:val="1"/>
      <w:marLeft w:val="0"/>
      <w:marRight w:val="0"/>
      <w:marTop w:val="0"/>
      <w:marBottom w:val="0"/>
      <w:divBdr>
        <w:top w:val="none" w:sz="0" w:space="0" w:color="auto"/>
        <w:left w:val="none" w:sz="0" w:space="0" w:color="auto"/>
        <w:bottom w:val="none" w:sz="0" w:space="0" w:color="auto"/>
        <w:right w:val="none" w:sz="0" w:space="0" w:color="auto"/>
      </w:divBdr>
      <w:divsChild>
        <w:div w:id="1470632856">
          <w:marLeft w:val="0"/>
          <w:marRight w:val="0"/>
          <w:marTop w:val="0"/>
          <w:marBottom w:val="0"/>
          <w:divBdr>
            <w:top w:val="none" w:sz="0" w:space="0" w:color="auto"/>
            <w:left w:val="none" w:sz="0" w:space="0" w:color="auto"/>
            <w:bottom w:val="none" w:sz="0" w:space="0" w:color="auto"/>
            <w:right w:val="none" w:sz="0" w:space="0" w:color="auto"/>
          </w:divBdr>
          <w:divsChild>
            <w:div w:id="1782987832">
              <w:marLeft w:val="0"/>
              <w:marRight w:val="0"/>
              <w:marTop w:val="0"/>
              <w:marBottom w:val="0"/>
              <w:divBdr>
                <w:top w:val="none" w:sz="0" w:space="0" w:color="auto"/>
                <w:left w:val="none" w:sz="0" w:space="0" w:color="auto"/>
                <w:bottom w:val="none" w:sz="0" w:space="0" w:color="auto"/>
                <w:right w:val="none" w:sz="0" w:space="0" w:color="auto"/>
              </w:divBdr>
              <w:divsChild>
                <w:div w:id="82924105">
                  <w:marLeft w:val="0"/>
                  <w:marRight w:val="0"/>
                  <w:marTop w:val="0"/>
                  <w:marBottom w:val="0"/>
                  <w:divBdr>
                    <w:top w:val="none" w:sz="0" w:space="0" w:color="auto"/>
                    <w:left w:val="none" w:sz="0" w:space="0" w:color="auto"/>
                    <w:bottom w:val="none" w:sz="0" w:space="0" w:color="auto"/>
                    <w:right w:val="none" w:sz="0" w:space="0" w:color="auto"/>
                  </w:divBdr>
                  <w:divsChild>
                    <w:div w:id="2039353375">
                      <w:marLeft w:val="0"/>
                      <w:marRight w:val="0"/>
                      <w:marTop w:val="0"/>
                      <w:marBottom w:val="0"/>
                      <w:divBdr>
                        <w:top w:val="none" w:sz="0" w:space="0" w:color="auto"/>
                        <w:left w:val="none" w:sz="0" w:space="0" w:color="auto"/>
                        <w:bottom w:val="none" w:sz="0" w:space="0" w:color="auto"/>
                        <w:right w:val="none" w:sz="0" w:space="0" w:color="auto"/>
                      </w:divBdr>
                      <w:divsChild>
                        <w:div w:id="1746799026">
                          <w:marLeft w:val="0"/>
                          <w:marRight w:val="0"/>
                          <w:marTop w:val="0"/>
                          <w:marBottom w:val="0"/>
                          <w:divBdr>
                            <w:top w:val="none" w:sz="0" w:space="0" w:color="auto"/>
                            <w:left w:val="none" w:sz="0" w:space="0" w:color="auto"/>
                            <w:bottom w:val="none" w:sz="0" w:space="0" w:color="auto"/>
                            <w:right w:val="none" w:sz="0" w:space="0" w:color="auto"/>
                          </w:divBdr>
                          <w:divsChild>
                            <w:div w:id="1300039389">
                              <w:marLeft w:val="0"/>
                              <w:marRight w:val="0"/>
                              <w:marTop w:val="0"/>
                              <w:marBottom w:val="0"/>
                              <w:divBdr>
                                <w:top w:val="none" w:sz="0" w:space="0" w:color="auto"/>
                                <w:left w:val="none" w:sz="0" w:space="0" w:color="auto"/>
                                <w:bottom w:val="none" w:sz="0" w:space="0" w:color="auto"/>
                                <w:right w:val="none" w:sz="0" w:space="0" w:color="auto"/>
                              </w:divBdr>
                              <w:divsChild>
                                <w:div w:id="204098264">
                                  <w:marLeft w:val="0"/>
                                  <w:marRight w:val="0"/>
                                  <w:marTop w:val="0"/>
                                  <w:marBottom w:val="0"/>
                                  <w:divBdr>
                                    <w:top w:val="none" w:sz="0" w:space="0" w:color="auto"/>
                                    <w:left w:val="none" w:sz="0" w:space="0" w:color="auto"/>
                                    <w:bottom w:val="none" w:sz="0" w:space="0" w:color="auto"/>
                                    <w:right w:val="none" w:sz="0" w:space="0" w:color="auto"/>
                                  </w:divBdr>
                                  <w:divsChild>
                                    <w:div w:id="754862706">
                                      <w:marLeft w:val="0"/>
                                      <w:marRight w:val="0"/>
                                      <w:marTop w:val="0"/>
                                      <w:marBottom w:val="0"/>
                                      <w:divBdr>
                                        <w:top w:val="none" w:sz="0" w:space="0" w:color="auto"/>
                                        <w:left w:val="none" w:sz="0" w:space="0" w:color="auto"/>
                                        <w:bottom w:val="none" w:sz="0" w:space="0" w:color="auto"/>
                                        <w:right w:val="none" w:sz="0" w:space="0" w:color="auto"/>
                                      </w:divBdr>
                                      <w:divsChild>
                                        <w:div w:id="1423378987">
                                          <w:marLeft w:val="0"/>
                                          <w:marRight w:val="0"/>
                                          <w:marTop w:val="0"/>
                                          <w:marBottom w:val="0"/>
                                          <w:divBdr>
                                            <w:top w:val="none" w:sz="0" w:space="0" w:color="auto"/>
                                            <w:left w:val="none" w:sz="0" w:space="0" w:color="auto"/>
                                            <w:bottom w:val="none" w:sz="0" w:space="0" w:color="auto"/>
                                            <w:right w:val="none" w:sz="0" w:space="0" w:color="auto"/>
                                          </w:divBdr>
                                          <w:divsChild>
                                            <w:div w:id="12589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537476">
      <w:bodyDiv w:val="1"/>
      <w:marLeft w:val="0"/>
      <w:marRight w:val="0"/>
      <w:marTop w:val="0"/>
      <w:marBottom w:val="0"/>
      <w:divBdr>
        <w:top w:val="none" w:sz="0" w:space="0" w:color="auto"/>
        <w:left w:val="none" w:sz="0" w:space="0" w:color="auto"/>
        <w:bottom w:val="none" w:sz="0" w:space="0" w:color="auto"/>
        <w:right w:val="none" w:sz="0" w:space="0" w:color="auto"/>
      </w:divBdr>
    </w:div>
    <w:div w:id="803080785">
      <w:bodyDiv w:val="1"/>
      <w:marLeft w:val="0"/>
      <w:marRight w:val="0"/>
      <w:marTop w:val="0"/>
      <w:marBottom w:val="0"/>
      <w:divBdr>
        <w:top w:val="none" w:sz="0" w:space="0" w:color="auto"/>
        <w:left w:val="none" w:sz="0" w:space="0" w:color="auto"/>
        <w:bottom w:val="none" w:sz="0" w:space="0" w:color="auto"/>
        <w:right w:val="none" w:sz="0" w:space="0" w:color="auto"/>
      </w:divBdr>
    </w:div>
    <w:div w:id="845021945">
      <w:bodyDiv w:val="1"/>
      <w:marLeft w:val="0"/>
      <w:marRight w:val="0"/>
      <w:marTop w:val="0"/>
      <w:marBottom w:val="0"/>
      <w:divBdr>
        <w:top w:val="none" w:sz="0" w:space="0" w:color="auto"/>
        <w:left w:val="none" w:sz="0" w:space="0" w:color="auto"/>
        <w:bottom w:val="none" w:sz="0" w:space="0" w:color="auto"/>
        <w:right w:val="none" w:sz="0" w:space="0" w:color="auto"/>
      </w:divBdr>
      <w:divsChild>
        <w:div w:id="872496691">
          <w:marLeft w:val="0"/>
          <w:marRight w:val="0"/>
          <w:marTop w:val="0"/>
          <w:marBottom w:val="0"/>
          <w:divBdr>
            <w:top w:val="none" w:sz="0" w:space="0" w:color="auto"/>
            <w:left w:val="none" w:sz="0" w:space="0" w:color="auto"/>
            <w:bottom w:val="none" w:sz="0" w:space="0" w:color="auto"/>
            <w:right w:val="none" w:sz="0" w:space="0" w:color="auto"/>
          </w:divBdr>
          <w:divsChild>
            <w:div w:id="33578372">
              <w:marLeft w:val="0"/>
              <w:marRight w:val="0"/>
              <w:marTop w:val="0"/>
              <w:marBottom w:val="0"/>
              <w:divBdr>
                <w:top w:val="none" w:sz="0" w:space="0" w:color="auto"/>
                <w:left w:val="none" w:sz="0" w:space="0" w:color="auto"/>
                <w:bottom w:val="none" w:sz="0" w:space="0" w:color="auto"/>
                <w:right w:val="none" w:sz="0" w:space="0" w:color="auto"/>
              </w:divBdr>
              <w:divsChild>
                <w:div w:id="2070110502">
                  <w:marLeft w:val="0"/>
                  <w:marRight w:val="0"/>
                  <w:marTop w:val="0"/>
                  <w:marBottom w:val="0"/>
                  <w:divBdr>
                    <w:top w:val="none" w:sz="0" w:space="0" w:color="auto"/>
                    <w:left w:val="none" w:sz="0" w:space="0" w:color="auto"/>
                    <w:bottom w:val="none" w:sz="0" w:space="0" w:color="auto"/>
                    <w:right w:val="none" w:sz="0" w:space="0" w:color="auto"/>
                  </w:divBdr>
                  <w:divsChild>
                    <w:div w:id="815072376">
                      <w:marLeft w:val="0"/>
                      <w:marRight w:val="0"/>
                      <w:marTop w:val="0"/>
                      <w:marBottom w:val="0"/>
                      <w:divBdr>
                        <w:top w:val="none" w:sz="0" w:space="0" w:color="auto"/>
                        <w:left w:val="none" w:sz="0" w:space="0" w:color="auto"/>
                        <w:bottom w:val="none" w:sz="0" w:space="0" w:color="auto"/>
                        <w:right w:val="none" w:sz="0" w:space="0" w:color="auto"/>
                      </w:divBdr>
                      <w:divsChild>
                        <w:div w:id="930234270">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sChild>
                                <w:div w:id="1097363427">
                                  <w:marLeft w:val="0"/>
                                  <w:marRight w:val="0"/>
                                  <w:marTop w:val="0"/>
                                  <w:marBottom w:val="0"/>
                                  <w:divBdr>
                                    <w:top w:val="none" w:sz="0" w:space="0" w:color="auto"/>
                                    <w:left w:val="none" w:sz="0" w:space="0" w:color="auto"/>
                                    <w:bottom w:val="none" w:sz="0" w:space="0" w:color="auto"/>
                                    <w:right w:val="none" w:sz="0" w:space="0" w:color="auto"/>
                                  </w:divBdr>
                                  <w:divsChild>
                                    <w:div w:id="2107729465">
                                      <w:marLeft w:val="0"/>
                                      <w:marRight w:val="0"/>
                                      <w:marTop w:val="0"/>
                                      <w:marBottom w:val="0"/>
                                      <w:divBdr>
                                        <w:top w:val="none" w:sz="0" w:space="0" w:color="auto"/>
                                        <w:left w:val="none" w:sz="0" w:space="0" w:color="auto"/>
                                        <w:bottom w:val="none" w:sz="0" w:space="0" w:color="auto"/>
                                        <w:right w:val="none" w:sz="0" w:space="0" w:color="auto"/>
                                      </w:divBdr>
                                      <w:divsChild>
                                        <w:div w:id="2080402242">
                                          <w:marLeft w:val="0"/>
                                          <w:marRight w:val="0"/>
                                          <w:marTop w:val="0"/>
                                          <w:marBottom w:val="0"/>
                                          <w:divBdr>
                                            <w:top w:val="none" w:sz="0" w:space="0" w:color="auto"/>
                                            <w:left w:val="none" w:sz="0" w:space="0" w:color="auto"/>
                                            <w:bottom w:val="none" w:sz="0" w:space="0" w:color="auto"/>
                                            <w:right w:val="none" w:sz="0" w:space="0" w:color="auto"/>
                                          </w:divBdr>
                                          <w:divsChild>
                                            <w:div w:id="4669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92711">
      <w:bodyDiv w:val="1"/>
      <w:marLeft w:val="0"/>
      <w:marRight w:val="0"/>
      <w:marTop w:val="0"/>
      <w:marBottom w:val="0"/>
      <w:divBdr>
        <w:top w:val="none" w:sz="0" w:space="0" w:color="auto"/>
        <w:left w:val="none" w:sz="0" w:space="0" w:color="auto"/>
        <w:bottom w:val="none" w:sz="0" w:space="0" w:color="auto"/>
        <w:right w:val="none" w:sz="0" w:space="0" w:color="auto"/>
      </w:divBdr>
    </w:div>
    <w:div w:id="928663323">
      <w:bodyDiv w:val="1"/>
      <w:marLeft w:val="0"/>
      <w:marRight w:val="0"/>
      <w:marTop w:val="0"/>
      <w:marBottom w:val="0"/>
      <w:divBdr>
        <w:top w:val="none" w:sz="0" w:space="0" w:color="auto"/>
        <w:left w:val="none" w:sz="0" w:space="0" w:color="auto"/>
        <w:bottom w:val="none" w:sz="0" w:space="0" w:color="auto"/>
        <w:right w:val="none" w:sz="0" w:space="0" w:color="auto"/>
      </w:divBdr>
    </w:div>
    <w:div w:id="959070269">
      <w:bodyDiv w:val="1"/>
      <w:marLeft w:val="0"/>
      <w:marRight w:val="0"/>
      <w:marTop w:val="0"/>
      <w:marBottom w:val="0"/>
      <w:divBdr>
        <w:top w:val="none" w:sz="0" w:space="0" w:color="auto"/>
        <w:left w:val="none" w:sz="0" w:space="0" w:color="auto"/>
        <w:bottom w:val="none" w:sz="0" w:space="0" w:color="auto"/>
        <w:right w:val="none" w:sz="0" w:space="0" w:color="auto"/>
      </w:divBdr>
    </w:div>
    <w:div w:id="1076824669">
      <w:bodyDiv w:val="1"/>
      <w:marLeft w:val="0"/>
      <w:marRight w:val="0"/>
      <w:marTop w:val="0"/>
      <w:marBottom w:val="0"/>
      <w:divBdr>
        <w:top w:val="none" w:sz="0" w:space="0" w:color="auto"/>
        <w:left w:val="none" w:sz="0" w:space="0" w:color="auto"/>
        <w:bottom w:val="none" w:sz="0" w:space="0" w:color="auto"/>
        <w:right w:val="none" w:sz="0" w:space="0" w:color="auto"/>
      </w:divBdr>
    </w:div>
    <w:div w:id="1099641476">
      <w:bodyDiv w:val="1"/>
      <w:marLeft w:val="0"/>
      <w:marRight w:val="0"/>
      <w:marTop w:val="0"/>
      <w:marBottom w:val="0"/>
      <w:divBdr>
        <w:top w:val="none" w:sz="0" w:space="0" w:color="auto"/>
        <w:left w:val="none" w:sz="0" w:space="0" w:color="auto"/>
        <w:bottom w:val="none" w:sz="0" w:space="0" w:color="auto"/>
        <w:right w:val="none" w:sz="0" w:space="0" w:color="auto"/>
      </w:divBdr>
    </w:div>
    <w:div w:id="1175071340">
      <w:bodyDiv w:val="1"/>
      <w:marLeft w:val="0"/>
      <w:marRight w:val="0"/>
      <w:marTop w:val="0"/>
      <w:marBottom w:val="0"/>
      <w:divBdr>
        <w:top w:val="none" w:sz="0" w:space="0" w:color="auto"/>
        <w:left w:val="none" w:sz="0" w:space="0" w:color="auto"/>
        <w:bottom w:val="none" w:sz="0" w:space="0" w:color="auto"/>
        <w:right w:val="none" w:sz="0" w:space="0" w:color="auto"/>
      </w:divBdr>
    </w:div>
    <w:div w:id="1350256331">
      <w:bodyDiv w:val="1"/>
      <w:marLeft w:val="0"/>
      <w:marRight w:val="0"/>
      <w:marTop w:val="0"/>
      <w:marBottom w:val="0"/>
      <w:divBdr>
        <w:top w:val="none" w:sz="0" w:space="0" w:color="auto"/>
        <w:left w:val="none" w:sz="0" w:space="0" w:color="auto"/>
        <w:bottom w:val="none" w:sz="0" w:space="0" w:color="auto"/>
        <w:right w:val="none" w:sz="0" w:space="0" w:color="auto"/>
      </w:divBdr>
    </w:div>
    <w:div w:id="1404723396">
      <w:bodyDiv w:val="1"/>
      <w:marLeft w:val="0"/>
      <w:marRight w:val="0"/>
      <w:marTop w:val="0"/>
      <w:marBottom w:val="0"/>
      <w:divBdr>
        <w:top w:val="none" w:sz="0" w:space="0" w:color="auto"/>
        <w:left w:val="none" w:sz="0" w:space="0" w:color="auto"/>
        <w:bottom w:val="none" w:sz="0" w:space="0" w:color="auto"/>
        <w:right w:val="none" w:sz="0" w:space="0" w:color="auto"/>
      </w:divBdr>
      <w:divsChild>
        <w:div w:id="228198453">
          <w:marLeft w:val="0"/>
          <w:marRight w:val="0"/>
          <w:marTop w:val="0"/>
          <w:marBottom w:val="0"/>
          <w:divBdr>
            <w:top w:val="none" w:sz="0" w:space="0" w:color="auto"/>
            <w:left w:val="none" w:sz="0" w:space="0" w:color="auto"/>
            <w:bottom w:val="none" w:sz="0" w:space="0" w:color="auto"/>
            <w:right w:val="none" w:sz="0" w:space="0" w:color="auto"/>
          </w:divBdr>
          <w:divsChild>
            <w:div w:id="758211838">
              <w:marLeft w:val="0"/>
              <w:marRight w:val="0"/>
              <w:marTop w:val="0"/>
              <w:marBottom w:val="0"/>
              <w:divBdr>
                <w:top w:val="none" w:sz="0" w:space="0" w:color="auto"/>
                <w:left w:val="none" w:sz="0" w:space="0" w:color="auto"/>
                <w:bottom w:val="none" w:sz="0" w:space="0" w:color="auto"/>
                <w:right w:val="none" w:sz="0" w:space="0" w:color="auto"/>
              </w:divBdr>
              <w:divsChild>
                <w:div w:id="1875076264">
                  <w:marLeft w:val="0"/>
                  <w:marRight w:val="0"/>
                  <w:marTop w:val="0"/>
                  <w:marBottom w:val="0"/>
                  <w:divBdr>
                    <w:top w:val="none" w:sz="0" w:space="0" w:color="auto"/>
                    <w:left w:val="none" w:sz="0" w:space="0" w:color="auto"/>
                    <w:bottom w:val="none" w:sz="0" w:space="0" w:color="auto"/>
                    <w:right w:val="none" w:sz="0" w:space="0" w:color="auto"/>
                  </w:divBdr>
                  <w:divsChild>
                    <w:div w:id="287585707">
                      <w:marLeft w:val="0"/>
                      <w:marRight w:val="0"/>
                      <w:marTop w:val="0"/>
                      <w:marBottom w:val="0"/>
                      <w:divBdr>
                        <w:top w:val="none" w:sz="0" w:space="0" w:color="auto"/>
                        <w:left w:val="none" w:sz="0" w:space="0" w:color="auto"/>
                        <w:bottom w:val="none" w:sz="0" w:space="0" w:color="auto"/>
                        <w:right w:val="none" w:sz="0" w:space="0" w:color="auto"/>
                      </w:divBdr>
                      <w:divsChild>
                        <w:div w:id="1072890397">
                          <w:marLeft w:val="0"/>
                          <w:marRight w:val="0"/>
                          <w:marTop w:val="0"/>
                          <w:marBottom w:val="0"/>
                          <w:divBdr>
                            <w:top w:val="none" w:sz="0" w:space="0" w:color="auto"/>
                            <w:left w:val="none" w:sz="0" w:space="0" w:color="auto"/>
                            <w:bottom w:val="none" w:sz="0" w:space="0" w:color="auto"/>
                            <w:right w:val="none" w:sz="0" w:space="0" w:color="auto"/>
                          </w:divBdr>
                          <w:divsChild>
                            <w:div w:id="708649925">
                              <w:marLeft w:val="0"/>
                              <w:marRight w:val="0"/>
                              <w:marTop w:val="0"/>
                              <w:marBottom w:val="0"/>
                              <w:divBdr>
                                <w:top w:val="none" w:sz="0" w:space="0" w:color="auto"/>
                                <w:left w:val="none" w:sz="0" w:space="0" w:color="auto"/>
                                <w:bottom w:val="none" w:sz="0" w:space="0" w:color="auto"/>
                                <w:right w:val="none" w:sz="0" w:space="0" w:color="auto"/>
                              </w:divBdr>
                              <w:divsChild>
                                <w:div w:id="1313484290">
                                  <w:marLeft w:val="0"/>
                                  <w:marRight w:val="0"/>
                                  <w:marTop w:val="0"/>
                                  <w:marBottom w:val="0"/>
                                  <w:divBdr>
                                    <w:top w:val="none" w:sz="0" w:space="0" w:color="auto"/>
                                    <w:left w:val="none" w:sz="0" w:space="0" w:color="auto"/>
                                    <w:bottom w:val="none" w:sz="0" w:space="0" w:color="auto"/>
                                    <w:right w:val="none" w:sz="0" w:space="0" w:color="auto"/>
                                  </w:divBdr>
                                  <w:divsChild>
                                    <w:div w:id="103497751">
                                      <w:marLeft w:val="0"/>
                                      <w:marRight w:val="0"/>
                                      <w:marTop w:val="0"/>
                                      <w:marBottom w:val="0"/>
                                      <w:divBdr>
                                        <w:top w:val="none" w:sz="0" w:space="0" w:color="auto"/>
                                        <w:left w:val="none" w:sz="0" w:space="0" w:color="auto"/>
                                        <w:bottom w:val="none" w:sz="0" w:space="0" w:color="auto"/>
                                        <w:right w:val="none" w:sz="0" w:space="0" w:color="auto"/>
                                      </w:divBdr>
                                      <w:divsChild>
                                        <w:div w:id="1117064720">
                                          <w:marLeft w:val="0"/>
                                          <w:marRight w:val="0"/>
                                          <w:marTop w:val="0"/>
                                          <w:marBottom w:val="0"/>
                                          <w:divBdr>
                                            <w:top w:val="none" w:sz="0" w:space="0" w:color="auto"/>
                                            <w:left w:val="none" w:sz="0" w:space="0" w:color="auto"/>
                                            <w:bottom w:val="none" w:sz="0" w:space="0" w:color="auto"/>
                                            <w:right w:val="none" w:sz="0" w:space="0" w:color="auto"/>
                                          </w:divBdr>
                                          <w:divsChild>
                                            <w:div w:id="1561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468919">
      <w:bodyDiv w:val="1"/>
      <w:marLeft w:val="0"/>
      <w:marRight w:val="0"/>
      <w:marTop w:val="0"/>
      <w:marBottom w:val="0"/>
      <w:divBdr>
        <w:top w:val="none" w:sz="0" w:space="0" w:color="auto"/>
        <w:left w:val="none" w:sz="0" w:space="0" w:color="auto"/>
        <w:bottom w:val="none" w:sz="0" w:space="0" w:color="auto"/>
        <w:right w:val="none" w:sz="0" w:space="0" w:color="auto"/>
      </w:divBdr>
    </w:div>
    <w:div w:id="1435125024">
      <w:bodyDiv w:val="1"/>
      <w:marLeft w:val="0"/>
      <w:marRight w:val="0"/>
      <w:marTop w:val="0"/>
      <w:marBottom w:val="0"/>
      <w:divBdr>
        <w:top w:val="none" w:sz="0" w:space="0" w:color="auto"/>
        <w:left w:val="none" w:sz="0" w:space="0" w:color="auto"/>
        <w:bottom w:val="none" w:sz="0" w:space="0" w:color="auto"/>
        <w:right w:val="none" w:sz="0" w:space="0" w:color="auto"/>
      </w:divBdr>
    </w:div>
    <w:div w:id="1767310856">
      <w:bodyDiv w:val="1"/>
      <w:marLeft w:val="0"/>
      <w:marRight w:val="0"/>
      <w:marTop w:val="0"/>
      <w:marBottom w:val="0"/>
      <w:divBdr>
        <w:top w:val="none" w:sz="0" w:space="0" w:color="auto"/>
        <w:left w:val="none" w:sz="0" w:space="0" w:color="auto"/>
        <w:bottom w:val="none" w:sz="0" w:space="0" w:color="auto"/>
        <w:right w:val="none" w:sz="0" w:space="0" w:color="auto"/>
      </w:divBdr>
    </w:div>
    <w:div w:id="1793865970">
      <w:bodyDiv w:val="1"/>
      <w:marLeft w:val="0"/>
      <w:marRight w:val="0"/>
      <w:marTop w:val="0"/>
      <w:marBottom w:val="0"/>
      <w:divBdr>
        <w:top w:val="none" w:sz="0" w:space="0" w:color="auto"/>
        <w:left w:val="none" w:sz="0" w:space="0" w:color="auto"/>
        <w:bottom w:val="none" w:sz="0" w:space="0" w:color="auto"/>
        <w:right w:val="none" w:sz="0" w:space="0" w:color="auto"/>
      </w:divBdr>
    </w:div>
    <w:div w:id="1910580313">
      <w:bodyDiv w:val="1"/>
      <w:marLeft w:val="0"/>
      <w:marRight w:val="0"/>
      <w:marTop w:val="0"/>
      <w:marBottom w:val="0"/>
      <w:divBdr>
        <w:top w:val="none" w:sz="0" w:space="0" w:color="auto"/>
        <w:left w:val="none" w:sz="0" w:space="0" w:color="auto"/>
        <w:bottom w:val="none" w:sz="0" w:space="0" w:color="auto"/>
        <w:right w:val="none" w:sz="0" w:space="0" w:color="auto"/>
      </w:divBdr>
    </w:div>
    <w:div w:id="1912033184">
      <w:bodyDiv w:val="1"/>
      <w:marLeft w:val="0"/>
      <w:marRight w:val="0"/>
      <w:marTop w:val="0"/>
      <w:marBottom w:val="0"/>
      <w:divBdr>
        <w:top w:val="none" w:sz="0" w:space="0" w:color="auto"/>
        <w:left w:val="none" w:sz="0" w:space="0" w:color="auto"/>
        <w:bottom w:val="none" w:sz="0" w:space="0" w:color="auto"/>
        <w:right w:val="none" w:sz="0" w:space="0" w:color="auto"/>
      </w:divBdr>
    </w:div>
    <w:div w:id="1916090962">
      <w:bodyDiv w:val="1"/>
      <w:marLeft w:val="0"/>
      <w:marRight w:val="0"/>
      <w:marTop w:val="0"/>
      <w:marBottom w:val="0"/>
      <w:divBdr>
        <w:top w:val="none" w:sz="0" w:space="0" w:color="auto"/>
        <w:left w:val="none" w:sz="0" w:space="0" w:color="auto"/>
        <w:bottom w:val="none" w:sz="0" w:space="0" w:color="auto"/>
        <w:right w:val="none" w:sz="0" w:space="0" w:color="auto"/>
      </w:divBdr>
    </w:div>
    <w:div w:id="1921134807">
      <w:bodyDiv w:val="1"/>
      <w:marLeft w:val="0"/>
      <w:marRight w:val="0"/>
      <w:marTop w:val="0"/>
      <w:marBottom w:val="0"/>
      <w:divBdr>
        <w:top w:val="none" w:sz="0" w:space="0" w:color="auto"/>
        <w:left w:val="none" w:sz="0" w:space="0" w:color="auto"/>
        <w:bottom w:val="none" w:sz="0" w:space="0" w:color="auto"/>
        <w:right w:val="none" w:sz="0" w:space="0" w:color="auto"/>
      </w:divBdr>
    </w:div>
    <w:div w:id="1923292625">
      <w:bodyDiv w:val="1"/>
      <w:marLeft w:val="0"/>
      <w:marRight w:val="0"/>
      <w:marTop w:val="0"/>
      <w:marBottom w:val="0"/>
      <w:divBdr>
        <w:top w:val="none" w:sz="0" w:space="0" w:color="auto"/>
        <w:left w:val="none" w:sz="0" w:space="0" w:color="auto"/>
        <w:bottom w:val="none" w:sz="0" w:space="0" w:color="auto"/>
        <w:right w:val="none" w:sz="0" w:space="0" w:color="auto"/>
      </w:divBdr>
    </w:div>
    <w:div w:id="1959952112">
      <w:bodyDiv w:val="1"/>
      <w:marLeft w:val="0"/>
      <w:marRight w:val="0"/>
      <w:marTop w:val="0"/>
      <w:marBottom w:val="0"/>
      <w:divBdr>
        <w:top w:val="none" w:sz="0" w:space="0" w:color="auto"/>
        <w:left w:val="none" w:sz="0" w:space="0" w:color="auto"/>
        <w:bottom w:val="none" w:sz="0" w:space="0" w:color="auto"/>
        <w:right w:val="none" w:sz="0" w:space="0" w:color="auto"/>
      </w:divBdr>
    </w:div>
    <w:div w:id="20973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publications/statistical/quality-and-outcomes-framework-achievement-prevalence-and-exceptions-data" TargetMode="External"/><Relationship Id="rId13" Type="http://schemas.openxmlformats.org/officeDocument/2006/relationships/hyperlink" Target="https://www.nice.org.uk/guidance/ta38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ngtermplan.nhs.uk/" TargetMode="External"/><Relationship Id="rId12" Type="http://schemas.openxmlformats.org/officeDocument/2006/relationships/hyperlink" Target="https://www.nice.org.uk/guidance/ta39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ta39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ice.org.uk/guidance/ta6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ce.org.uk/guidance/NG238"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Carr</dc:creator>
  <cp:keywords/>
  <cp:lastModifiedBy>Melanie Carr</cp:lastModifiedBy>
  <cp:revision>2</cp:revision>
  <dcterms:created xsi:type="dcterms:W3CDTF">2024-10-30T09:54:00Z</dcterms:created>
  <dcterms:modified xsi:type="dcterms:W3CDTF">2024-10-30T09:54:00Z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2023-09-07T13:02:35Z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0373a104-3282-4345-91ba-1d011afc0572</vt:lpwstr>
  </property>
  <property fmtid="{D5CDD505-2E9C-101B-9397-08002B2CF9AE}" pid="8" name="MSIP_Label_c69d85d5-6d9e-4305-a294-1f636ec0f2d6_ContentBits">
    <vt:lpwstr>0</vt:lpwstr>
  </property>
</Properties>
</file>